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F51BCE" w14:textId="77777777" w:rsidR="003929DA" w:rsidRPr="00F60F78" w:rsidRDefault="003929DA">
      <w:pPr>
        <w:pStyle w:val="16"/>
        <w:rPr>
          <w:szCs w:val="22"/>
          <w:lang w:val="el-GR"/>
        </w:rPr>
      </w:pPr>
    </w:p>
    <w:p w14:paraId="2D3876AB" w14:textId="77777777" w:rsidR="003929DA" w:rsidRDefault="003929DA">
      <w:pPr>
        <w:rPr>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4D483539" w14:textId="77777777" w:rsidR="003929DA" w:rsidRDefault="003929DA">
      <w:pPr>
        <w:rPr>
          <w:szCs w:val="22"/>
          <w:lang w:val="el-GR"/>
        </w:rPr>
      </w:pPr>
    </w:p>
    <w:p w14:paraId="662EA432" w14:textId="77777777" w:rsidR="003929DA" w:rsidRDefault="003929DA">
      <w:pPr>
        <w:rPr>
          <w:szCs w:val="22"/>
          <w:lang w:val="el-GR"/>
        </w:rPr>
      </w:pPr>
    </w:p>
    <w:p w14:paraId="265DFFDC" w14:textId="77777777" w:rsidR="003929DA" w:rsidRDefault="003929DA">
      <w:pPr>
        <w:rPr>
          <w:szCs w:val="22"/>
          <w:lang w:val="el-GR"/>
        </w:rPr>
      </w:pPr>
    </w:p>
    <w:p w14:paraId="1AEF57FA" w14:textId="7231C1C5" w:rsidR="006C2BEE" w:rsidRDefault="006C2BEE" w:rsidP="006C2BEE">
      <w:pPr>
        <w:rPr>
          <w:b/>
          <w:bCs/>
          <w:sz w:val="40"/>
          <w:szCs w:val="40"/>
          <w:lang w:val="el-GR"/>
        </w:rPr>
      </w:pPr>
      <w:bookmarkStart w:id="0" w:name="_Toc129004390"/>
      <w:r>
        <w:rPr>
          <w:b/>
          <w:bCs/>
          <w:sz w:val="40"/>
          <w:szCs w:val="40"/>
          <w:lang w:val="el-GR"/>
        </w:rPr>
        <w:t xml:space="preserve">           </w:t>
      </w:r>
      <w:r w:rsidRPr="006C2BEE">
        <w:rPr>
          <w:b/>
          <w:bCs/>
          <w:sz w:val="40"/>
          <w:szCs w:val="40"/>
          <w:lang w:val="el-GR"/>
        </w:rPr>
        <w:t xml:space="preserve">«Προμήθεια οχήματος για ανάγκες Υπηρεσίας </w:t>
      </w:r>
      <w:r>
        <w:rPr>
          <w:b/>
          <w:bCs/>
          <w:sz w:val="40"/>
          <w:szCs w:val="40"/>
          <w:lang w:val="el-GR"/>
        </w:rPr>
        <w:t xml:space="preserve">       </w:t>
      </w:r>
    </w:p>
    <w:p w14:paraId="4E0EFD8F" w14:textId="0EEE975F" w:rsidR="006C2BEE" w:rsidRPr="006C2BEE" w:rsidRDefault="006C2BEE" w:rsidP="006C2BEE">
      <w:pPr>
        <w:rPr>
          <w:b/>
          <w:bCs/>
          <w:sz w:val="40"/>
          <w:szCs w:val="40"/>
          <w:lang w:val="el-GR"/>
        </w:rPr>
      </w:pPr>
      <w:r>
        <w:rPr>
          <w:b/>
          <w:bCs/>
          <w:sz w:val="40"/>
          <w:szCs w:val="40"/>
          <w:lang w:val="el-GR"/>
        </w:rPr>
        <w:t xml:space="preserve">       </w:t>
      </w:r>
      <w:r w:rsidRPr="006C2BEE">
        <w:rPr>
          <w:b/>
          <w:bCs/>
          <w:sz w:val="40"/>
          <w:szCs w:val="40"/>
          <w:lang w:val="el-GR"/>
        </w:rPr>
        <w:t xml:space="preserve">Καθαριότητας </w:t>
      </w:r>
      <w:r>
        <w:rPr>
          <w:b/>
          <w:bCs/>
          <w:sz w:val="40"/>
          <w:szCs w:val="40"/>
          <w:lang w:val="el-GR"/>
        </w:rPr>
        <w:t xml:space="preserve">του </w:t>
      </w:r>
      <w:r w:rsidRPr="006C2BEE">
        <w:rPr>
          <w:b/>
          <w:bCs/>
          <w:sz w:val="40"/>
          <w:szCs w:val="40"/>
          <w:lang w:val="el-GR"/>
        </w:rPr>
        <w:t xml:space="preserve">ΔΗΜΟΥ ΙΘΑΚΗΣ (ΦΙΛΟΔΗΜΟΣ ΙΙ)» </w:t>
      </w:r>
    </w:p>
    <w:p w14:paraId="6EF2CA8D" w14:textId="77777777" w:rsidR="006C2BEE" w:rsidRPr="006C2BEE" w:rsidRDefault="006C2BEE" w:rsidP="006C2BEE">
      <w:pPr>
        <w:rPr>
          <w:b/>
          <w:bCs/>
          <w:sz w:val="40"/>
          <w:szCs w:val="40"/>
          <w:lang w:val="el-GR"/>
        </w:rPr>
      </w:pPr>
    </w:p>
    <w:p w14:paraId="1D390B5D" w14:textId="79E38D7C" w:rsidR="006C2BEE" w:rsidRPr="006C2BEE" w:rsidRDefault="006C2BEE" w:rsidP="006C2BEE">
      <w:pPr>
        <w:rPr>
          <w:b/>
          <w:bCs/>
          <w:sz w:val="40"/>
          <w:szCs w:val="40"/>
          <w:lang w:val="el-GR"/>
        </w:rPr>
      </w:pPr>
      <w:r w:rsidRPr="006C2BEE">
        <w:rPr>
          <w:b/>
          <w:bCs/>
          <w:sz w:val="40"/>
          <w:szCs w:val="40"/>
          <w:lang w:val="el-GR"/>
        </w:rPr>
        <w:t xml:space="preserve">        </w:t>
      </w:r>
      <w:r>
        <w:rPr>
          <w:b/>
          <w:bCs/>
          <w:sz w:val="40"/>
          <w:szCs w:val="40"/>
          <w:lang w:val="el-GR"/>
        </w:rPr>
        <w:t xml:space="preserve">     </w:t>
      </w:r>
      <w:r w:rsidRPr="006C2BEE">
        <w:rPr>
          <w:b/>
          <w:bCs/>
          <w:sz w:val="40"/>
          <w:szCs w:val="40"/>
          <w:lang w:val="el-GR"/>
        </w:rPr>
        <w:t xml:space="preserve">        με Ανοικτή Διαδικασία μέσω ΕΣΗΔΗΣ</w:t>
      </w:r>
    </w:p>
    <w:bookmarkEnd w:id="0"/>
    <w:p w14:paraId="125E2D6D" w14:textId="77777777" w:rsidR="003929DA" w:rsidRDefault="003929DA">
      <w:pPr>
        <w:pStyle w:val="normalwithoutspacing"/>
        <w:jc w:val="center"/>
        <w:rPr>
          <w:b/>
          <w:color w:val="FF0000"/>
          <w:sz w:val="36"/>
          <w:szCs w:val="36"/>
        </w:rPr>
      </w:pPr>
    </w:p>
    <w:p w14:paraId="42015BA1" w14:textId="67EA65EE" w:rsidR="003929DA" w:rsidRPr="00B1220E" w:rsidRDefault="006C2BEE">
      <w:pPr>
        <w:pStyle w:val="normalwithoutspacing"/>
        <w:jc w:val="center"/>
        <w:sectPr w:rsidR="003929DA" w:rsidRPr="00B1220E">
          <w:pgSz w:w="11906" w:h="16838"/>
          <w:pgMar w:top="1134" w:right="1134" w:bottom="1134" w:left="1134" w:header="720" w:footer="709" w:gutter="0"/>
          <w:cols w:space="720"/>
          <w:docGrid w:linePitch="600" w:charSpace="36864"/>
        </w:sectPr>
      </w:pPr>
      <w:r>
        <w:rPr>
          <w:b/>
          <w:sz w:val="36"/>
          <w:szCs w:val="36"/>
        </w:rPr>
        <w:t>ΑΡ. ΜΕΛΕΤΗΣ 37/2023</w:t>
      </w:r>
    </w:p>
    <w:p w14:paraId="3513B323" w14:textId="77777777" w:rsidR="003929DA" w:rsidRDefault="003929DA">
      <w:pPr>
        <w:pStyle w:val="1"/>
        <w:numPr>
          <w:ilvl w:val="0"/>
          <w:numId w:val="3"/>
        </w:numPr>
        <w:tabs>
          <w:tab w:val="left" w:pos="567"/>
        </w:tabs>
        <w:ind w:left="567" w:hanging="567"/>
        <w:rPr>
          <w:lang w:val="el-GR"/>
        </w:rPr>
      </w:pPr>
      <w:bookmarkStart w:id="1" w:name="_Toc129004392"/>
      <w:r>
        <w:rPr>
          <w:lang w:val="el-GR"/>
        </w:rPr>
        <w:lastRenderedPageBreak/>
        <w:t>ΑΝΑΘΕΤΟΥΣΑ ΑΡΧΗ ΚΑΙ ΑΝΤΙΚΕΙΜΕΝΟ ΣΥΜΒΑΣΗΣ</w:t>
      </w:r>
      <w:bookmarkEnd w:id="1"/>
    </w:p>
    <w:p w14:paraId="4FCC1091" w14:textId="77777777" w:rsidR="003929DA" w:rsidRDefault="003929DA">
      <w:pPr>
        <w:pStyle w:val="2"/>
      </w:pPr>
      <w:bookmarkStart w:id="2" w:name="_Toc129004393"/>
      <w:r>
        <w:rPr>
          <w:lang w:val="el-GR"/>
        </w:rPr>
        <w:t>1.1</w:t>
      </w:r>
      <w:r>
        <w:rPr>
          <w:lang w:val="el-GR"/>
        </w:rPr>
        <w:tab/>
        <w:t>Στοιχεία Αναθέτουσας Αρχής</w:t>
      </w:r>
      <w:bookmarkEnd w:id="2"/>
      <w:r>
        <w:rPr>
          <w:lang w:val="el-GR"/>
        </w:rPr>
        <w:t xml:space="preserve"> </w:t>
      </w:r>
    </w:p>
    <w:p w14:paraId="62A4761F"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6A7710" w14:paraId="41C3F1D4" w14:textId="77777777">
        <w:tc>
          <w:tcPr>
            <w:tcW w:w="5245" w:type="dxa"/>
            <w:tcBorders>
              <w:top w:val="single" w:sz="4" w:space="0" w:color="000000"/>
              <w:left w:val="single" w:sz="4" w:space="0" w:color="000000"/>
              <w:bottom w:val="single" w:sz="4" w:space="0" w:color="000000"/>
            </w:tcBorders>
            <w:shd w:val="clear" w:color="auto" w:fill="auto"/>
          </w:tcPr>
          <w:p w14:paraId="5A546F3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088ADECD" w:rsidR="003929DA" w:rsidRDefault="000B4A8E">
            <w:pPr>
              <w:pStyle w:val="normalwithoutspacing"/>
              <w:snapToGrid w:val="0"/>
            </w:pPr>
            <w:r>
              <w:t>ΔΗΜΟΣ ΙΘΑΚΗΣ</w:t>
            </w:r>
          </w:p>
        </w:tc>
      </w:tr>
      <w:tr w:rsidR="006A7710" w:rsidRPr="000B4A8E" w14:paraId="3272E753" w14:textId="77777777">
        <w:tc>
          <w:tcPr>
            <w:tcW w:w="5245" w:type="dxa"/>
            <w:tcBorders>
              <w:top w:val="single" w:sz="4" w:space="0" w:color="000000"/>
              <w:left w:val="single" w:sz="4" w:space="0" w:color="000000"/>
              <w:bottom w:val="single" w:sz="4" w:space="0" w:color="000000"/>
            </w:tcBorders>
            <w:shd w:val="clear" w:color="auto" w:fill="auto"/>
          </w:tcPr>
          <w:p w14:paraId="15212E41"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2DDC7706" w:rsidR="000F3FCE" w:rsidRPr="000B4A8E" w:rsidRDefault="000B4A8E">
            <w:pPr>
              <w:pStyle w:val="normalwithoutspacing"/>
              <w:snapToGrid w:val="0"/>
            </w:pPr>
            <w:r>
              <w:t>090125733</w:t>
            </w:r>
            <w:r>
              <w:rPr>
                <w:lang w:val="en-US"/>
              </w:rPr>
              <w:t xml:space="preserve">, </w:t>
            </w:r>
            <w:r>
              <w:t>Δ.Ο.Υ. ΑΡΓΟΣΤΟΛΙΟΥ</w:t>
            </w:r>
          </w:p>
        </w:tc>
      </w:tr>
      <w:tr w:rsidR="006A7710" w14:paraId="763A94C7" w14:textId="77777777">
        <w:tc>
          <w:tcPr>
            <w:tcW w:w="5245" w:type="dxa"/>
            <w:tcBorders>
              <w:top w:val="single" w:sz="4" w:space="0" w:color="000000"/>
              <w:left w:val="single" w:sz="4" w:space="0" w:color="000000"/>
              <w:bottom w:val="single" w:sz="4" w:space="0" w:color="000000"/>
            </w:tcBorders>
            <w:shd w:val="clear" w:color="auto" w:fill="auto"/>
          </w:tcPr>
          <w:p w14:paraId="5F142585"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4734FB0E" w:rsidR="000F3FCE" w:rsidRDefault="000B4A8E">
            <w:pPr>
              <w:pStyle w:val="normalwithoutspacing"/>
              <w:snapToGrid w:val="0"/>
            </w:pPr>
            <w:r>
              <w:t>ΣΠΥΡΟΥ ΡΑΖΟΥ 138</w:t>
            </w:r>
          </w:p>
        </w:tc>
      </w:tr>
      <w:tr w:rsidR="006A7710" w14:paraId="103CE838" w14:textId="77777777">
        <w:tc>
          <w:tcPr>
            <w:tcW w:w="5245" w:type="dxa"/>
            <w:tcBorders>
              <w:top w:val="single" w:sz="4" w:space="0" w:color="000000"/>
              <w:left w:val="single" w:sz="4" w:space="0" w:color="000000"/>
              <w:bottom w:val="single" w:sz="4" w:space="0" w:color="000000"/>
            </w:tcBorders>
            <w:shd w:val="clear" w:color="auto" w:fill="auto"/>
          </w:tcPr>
          <w:p w14:paraId="406A7D65"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2EB7F36D" w:rsidR="000F3FCE" w:rsidRDefault="000B4A8E">
            <w:pPr>
              <w:pStyle w:val="normalwithoutspacing"/>
              <w:snapToGrid w:val="0"/>
            </w:pPr>
            <w:r>
              <w:t>ΒΑΘΥ, ΙΘΑΚΗ</w:t>
            </w:r>
          </w:p>
        </w:tc>
      </w:tr>
      <w:tr w:rsidR="006A7710" w14:paraId="120EFEED" w14:textId="77777777">
        <w:tc>
          <w:tcPr>
            <w:tcW w:w="5245" w:type="dxa"/>
            <w:tcBorders>
              <w:top w:val="single" w:sz="4" w:space="0" w:color="000000"/>
              <w:left w:val="single" w:sz="4" w:space="0" w:color="000000"/>
              <w:bottom w:val="single" w:sz="4" w:space="0" w:color="000000"/>
            </w:tcBorders>
            <w:shd w:val="clear" w:color="auto" w:fill="auto"/>
          </w:tcPr>
          <w:p w14:paraId="0BA57028"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729A90F5" w:rsidR="000F3FCE" w:rsidRDefault="000B4A8E">
            <w:pPr>
              <w:pStyle w:val="normalwithoutspacing"/>
              <w:snapToGrid w:val="0"/>
            </w:pPr>
            <w:r>
              <w:t>28300</w:t>
            </w:r>
          </w:p>
        </w:tc>
      </w:tr>
      <w:tr w:rsidR="006A7710" w14:paraId="31A4DC06" w14:textId="77777777">
        <w:tc>
          <w:tcPr>
            <w:tcW w:w="5245" w:type="dxa"/>
            <w:tcBorders>
              <w:top w:val="single" w:sz="4" w:space="0" w:color="000000"/>
              <w:left w:val="single" w:sz="4" w:space="0" w:color="000000"/>
              <w:bottom w:val="single" w:sz="4" w:space="0" w:color="000000"/>
            </w:tcBorders>
            <w:shd w:val="clear" w:color="auto" w:fill="auto"/>
          </w:tcPr>
          <w:p w14:paraId="645676E7" w14:textId="77777777" w:rsidR="000F3FCE" w:rsidRDefault="000F3FCE">
            <w:pPr>
              <w:pStyle w:val="normalwithoutspacing"/>
            </w:pPr>
            <w:r>
              <w:t>Χώρα</w:t>
            </w:r>
            <w:r>
              <w:rPr>
                <w:rStyle w:val="WW-FootnoteReference"/>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1C6D95" w14:textId="62027024" w:rsidR="000F3FCE" w:rsidRDefault="000B4A8E">
            <w:pPr>
              <w:pStyle w:val="normalwithoutspacing"/>
              <w:snapToGrid w:val="0"/>
            </w:pPr>
            <w:r>
              <w:t>ΕΛΛΑΔΑ</w:t>
            </w:r>
          </w:p>
        </w:tc>
      </w:tr>
      <w:tr w:rsidR="006A7710" w14:paraId="7F32E1DD" w14:textId="77777777">
        <w:tc>
          <w:tcPr>
            <w:tcW w:w="5245" w:type="dxa"/>
            <w:tcBorders>
              <w:top w:val="single" w:sz="4" w:space="0" w:color="000000"/>
              <w:left w:val="single" w:sz="4" w:space="0" w:color="000000"/>
              <w:bottom w:val="single" w:sz="4" w:space="0" w:color="000000"/>
            </w:tcBorders>
            <w:shd w:val="clear" w:color="auto" w:fill="auto"/>
          </w:tcPr>
          <w:p w14:paraId="5574EDDA"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1295033A" w:rsidR="000F3FCE" w:rsidRDefault="000B4A8E">
            <w:pPr>
              <w:pStyle w:val="normalwithoutspacing"/>
              <w:snapToGrid w:val="0"/>
            </w:pPr>
            <w:r>
              <w:t>2674023920</w:t>
            </w:r>
          </w:p>
        </w:tc>
      </w:tr>
      <w:tr w:rsidR="006A7710" w14:paraId="2014A5A9" w14:textId="77777777">
        <w:tc>
          <w:tcPr>
            <w:tcW w:w="5245" w:type="dxa"/>
            <w:tcBorders>
              <w:top w:val="single" w:sz="4" w:space="0" w:color="000000"/>
              <w:left w:val="single" w:sz="4" w:space="0" w:color="000000"/>
              <w:bottom w:val="single" w:sz="4" w:space="0" w:color="000000"/>
            </w:tcBorders>
            <w:shd w:val="clear" w:color="auto" w:fill="auto"/>
          </w:tcPr>
          <w:p w14:paraId="5E0FD724" w14:textId="77777777"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7B376523" w:rsidR="000F3FCE" w:rsidRPr="000B4A8E" w:rsidRDefault="000B4A8E">
            <w:pPr>
              <w:pStyle w:val="normalwithoutspacing"/>
              <w:snapToGrid w:val="0"/>
              <w:rPr>
                <w:lang w:val="en-US"/>
              </w:rPr>
            </w:pPr>
            <w:r>
              <w:rPr>
                <w:lang w:val="en-US"/>
              </w:rPr>
              <w:t>info@ithaki.gr</w:t>
            </w:r>
          </w:p>
        </w:tc>
      </w:tr>
      <w:tr w:rsidR="006A7710" w14:paraId="0EE71170" w14:textId="77777777">
        <w:tc>
          <w:tcPr>
            <w:tcW w:w="5245" w:type="dxa"/>
            <w:tcBorders>
              <w:top w:val="single" w:sz="4" w:space="0" w:color="000000"/>
              <w:left w:val="single" w:sz="4" w:space="0" w:color="000000"/>
              <w:bottom w:val="single" w:sz="4" w:space="0" w:color="000000"/>
            </w:tcBorders>
            <w:shd w:val="clear" w:color="auto" w:fill="auto"/>
          </w:tcPr>
          <w:p w14:paraId="5323FDB7" w14:textId="77777777" w:rsidR="000F3FCE" w:rsidRDefault="000F3FCE">
            <w:pPr>
              <w:pStyle w:val="normalwithoutspacing"/>
            </w:pPr>
            <w:r>
              <w:t>Αρμόδιος για πληροφορίες</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172FE6A1" w:rsidR="000F3FCE" w:rsidRDefault="000B4A8E">
            <w:pPr>
              <w:pStyle w:val="normalwithoutspacing"/>
              <w:snapToGrid w:val="0"/>
            </w:pPr>
            <w:r>
              <w:t>ΙΩΑΝΝΑ ΘΩΜΑ</w:t>
            </w:r>
          </w:p>
        </w:tc>
      </w:tr>
      <w:tr w:rsidR="006A7710" w:rsidRPr="000B4A8E" w14:paraId="676A9527" w14:textId="77777777">
        <w:tc>
          <w:tcPr>
            <w:tcW w:w="5245" w:type="dxa"/>
            <w:tcBorders>
              <w:top w:val="single" w:sz="4" w:space="0" w:color="000000"/>
              <w:left w:val="single" w:sz="4" w:space="0" w:color="000000"/>
              <w:bottom w:val="single" w:sz="4" w:space="0" w:color="000000"/>
            </w:tcBorders>
            <w:shd w:val="clear" w:color="auto" w:fill="auto"/>
          </w:tcPr>
          <w:p w14:paraId="5194BAC5"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23AF6C28" w:rsidR="000F3FCE" w:rsidRPr="000B4A8E" w:rsidRDefault="000B4A8E">
            <w:pPr>
              <w:pStyle w:val="normalwithoutspacing"/>
              <w:snapToGrid w:val="0"/>
              <w:rPr>
                <w:lang w:val="en-US"/>
              </w:rPr>
            </w:pPr>
            <w:r>
              <w:rPr>
                <w:lang w:val="en-US"/>
              </w:rPr>
              <w:t>www.ithaki.gr</w:t>
            </w:r>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74BE2ABB" w14:textId="3305A402" w:rsidR="003929DA" w:rsidRDefault="003929DA">
      <w:pPr>
        <w:pStyle w:val="normalwithoutspacing"/>
        <w:rPr>
          <w:rFonts w:eastAsia="Calibri"/>
        </w:rPr>
      </w:pPr>
      <w:r>
        <w:t xml:space="preserve">Η Αναθέτουσα Αρχή είναι </w:t>
      </w:r>
      <w:r>
        <w:rPr>
          <w:rStyle w:val="a4"/>
          <w:rFonts w:cs="Calibri"/>
          <w:szCs w:val="22"/>
        </w:rPr>
        <w:footnoteReference w:id="3"/>
      </w:r>
      <w:r>
        <w:t xml:space="preserve">  </w:t>
      </w:r>
      <w:r w:rsidR="002871FC">
        <w:t>Δήμος.  και ανήκει στον υποτομέα Ο.Τ.Α.</w:t>
      </w:r>
      <w:r>
        <w:rPr>
          <w:rStyle w:val="a4"/>
          <w:rFonts w:cs="Calibri"/>
          <w:szCs w:val="22"/>
        </w:rPr>
        <w:footnoteReference w:id="4"/>
      </w:r>
    </w:p>
    <w:p w14:paraId="3E7A40A5" w14:textId="77777777" w:rsidR="003929DA" w:rsidRDefault="003929DA">
      <w:pPr>
        <w:pStyle w:val="normalwithoutspacing"/>
        <w:rPr>
          <w:b/>
        </w:rPr>
      </w:pPr>
      <w:r>
        <w:rPr>
          <w:rFonts w:eastAsia="Calibri"/>
        </w:rPr>
        <w:t xml:space="preserve">  </w:t>
      </w:r>
    </w:p>
    <w:p w14:paraId="730EC564" w14:textId="77777777" w:rsidR="003929DA" w:rsidRDefault="003929DA">
      <w:pPr>
        <w:pStyle w:val="normalwithoutspacing"/>
      </w:pPr>
      <w:r>
        <w:rPr>
          <w:b/>
        </w:rPr>
        <w:t>Κύρια δραστηριότητα Α.Α.</w:t>
      </w:r>
      <w:r>
        <w:rPr>
          <w:rStyle w:val="a4"/>
          <w:rFonts w:cs="Calibri"/>
          <w:b/>
          <w:szCs w:val="22"/>
        </w:rPr>
        <w:footnoteReference w:id="5"/>
      </w:r>
    </w:p>
    <w:p w14:paraId="543C120C" w14:textId="6F9F4707" w:rsidR="003929DA" w:rsidRDefault="003929DA">
      <w:pPr>
        <w:pStyle w:val="normalwithoutspacing"/>
      </w:pPr>
      <w:r>
        <w:t xml:space="preserve">Η κύρια δραστηριότητα της Αναθέτουσας Αρχής είναι </w:t>
      </w:r>
      <w:r w:rsidR="002871FC">
        <w:t>γενικές δημόσιες υπηρεσίες.</w:t>
      </w:r>
    </w:p>
    <w:p w14:paraId="078FF9EB" w14:textId="29429A2B" w:rsidR="003929DA" w:rsidRDefault="002871FC">
      <w:pPr>
        <w:pStyle w:val="normalwithoutspacing"/>
      </w:pPr>
      <w:r>
        <w:rPr>
          <w:i/>
          <w:color w:val="5B9BD5"/>
        </w:rPr>
        <w:t xml:space="preserve"> </w:t>
      </w:r>
      <w:r w:rsidR="003929DA">
        <w:t xml:space="preserve"> Εφαρμοστέο εθνικό δίκαιο  είναι το </w:t>
      </w:r>
      <w:r>
        <w:t>ελληνικό, Ν.4412/2016</w:t>
      </w:r>
      <w:r w:rsidR="003929DA">
        <w:t xml:space="preserve"> </w:t>
      </w:r>
      <w:r w:rsidR="003929DA">
        <w:rPr>
          <w:rStyle w:val="a4"/>
          <w:szCs w:val="22"/>
        </w:rPr>
        <w:footnoteReference w:id="6"/>
      </w:r>
      <w:r w:rsidR="003929DA">
        <w:t xml:space="preserve"> : </w:t>
      </w:r>
    </w:p>
    <w:p w14:paraId="18F1C7DD" w14:textId="77777777" w:rsidR="003929DA" w:rsidRDefault="003929DA">
      <w:pPr>
        <w:pStyle w:val="normalwithoutspacing"/>
      </w:pPr>
    </w:p>
    <w:p w14:paraId="7B2137C3" w14:textId="77777777" w:rsidR="002871FC" w:rsidRDefault="002871FC">
      <w:pPr>
        <w:pStyle w:val="normalwithoutspacing"/>
      </w:pPr>
    </w:p>
    <w:p w14:paraId="0E8D1964" w14:textId="77777777" w:rsidR="003929DA" w:rsidRDefault="003929DA">
      <w:pPr>
        <w:pStyle w:val="normalwithoutspacing"/>
        <w:rPr>
          <w:kern w:val="1"/>
        </w:rPr>
      </w:pPr>
      <w:r>
        <w:rPr>
          <w:b/>
        </w:rPr>
        <w:t xml:space="preserve">Στοιχεία Επικοινωνίας </w:t>
      </w:r>
      <w:r>
        <w:rPr>
          <w:rStyle w:val="a4"/>
          <w:b/>
          <w:szCs w:val="22"/>
        </w:rPr>
        <w:footnoteReference w:id="7"/>
      </w:r>
      <w:r>
        <w:rPr>
          <w:b/>
        </w:rPr>
        <w:t xml:space="preserve"> </w:t>
      </w:r>
    </w:p>
    <w:p w14:paraId="5613DC55"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proofErr w:type="spellStart"/>
      <w:r>
        <w:rPr>
          <w:kern w:val="1"/>
        </w:rPr>
        <w:t>www.promitheus.gov.gr</w:t>
      </w:r>
      <w:proofErr w:type="spellEnd"/>
      <w:r w:rsidR="00996A20">
        <w:rPr>
          <w:kern w:val="1"/>
        </w:rPr>
        <w:t>)</w:t>
      </w:r>
      <w:r>
        <w:rPr>
          <w:kern w:val="1"/>
        </w:rPr>
        <w:t xml:space="preserve"> του </w:t>
      </w:r>
      <w:r w:rsidR="00996A20">
        <w:rPr>
          <w:kern w:val="1"/>
        </w:rPr>
        <w:t xml:space="preserve">ΟΠΣ </w:t>
      </w:r>
      <w:r>
        <w:rPr>
          <w:kern w:val="1"/>
        </w:rPr>
        <w:t>ΕΣΗΔΗΣ.</w:t>
      </w:r>
      <w:r>
        <w:rPr>
          <w:rStyle w:val="WW-FootnoteReference"/>
          <w:kern w:val="1"/>
        </w:rPr>
        <w:footnoteReference w:id="8"/>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proofErr w:type="spellStart"/>
      <w:r>
        <w:t>www.promitheus.gov.gr</w:t>
      </w:r>
      <w:proofErr w:type="spellEnd"/>
      <w:r w:rsidR="00494CB1">
        <w:t>)</w:t>
      </w:r>
      <w:r>
        <w:t xml:space="preserve"> του </w:t>
      </w:r>
      <w:r w:rsidR="00996A20">
        <w:t xml:space="preserve">ΟΠΣ </w:t>
      </w:r>
      <w:r w:rsidR="00494CB1">
        <w:t>ΕΣΗΔΗΣ.</w:t>
      </w:r>
    </w:p>
    <w:p w14:paraId="21B60A49" w14:textId="186D0453" w:rsidR="003929DA" w:rsidRDefault="003929DA" w:rsidP="006F597B">
      <w:pPr>
        <w:pStyle w:val="normalwithoutspacing"/>
        <w:ind w:left="567" w:hanging="567"/>
        <w:rPr>
          <w:kern w:val="1"/>
        </w:rPr>
      </w:pPr>
      <w:r>
        <w:t>γ)</w:t>
      </w:r>
      <w:r w:rsidR="006F597B">
        <w:tab/>
      </w:r>
      <w:r>
        <w:t>Περαιτέρω πληροφορίες είναι διαθέσιμες από</w:t>
      </w:r>
      <w:r w:rsidR="002871FC" w:rsidRPr="002871FC">
        <w:t xml:space="preserve"> τη Διαδικτυακή Πύλη</w:t>
      </w:r>
      <w:r w:rsidR="002871FC">
        <w:t xml:space="preserve"> του ΚΗΜΔΗΣ.</w:t>
      </w:r>
    </w:p>
    <w:p w14:paraId="022250DE" w14:textId="4447CF0A" w:rsidR="00AE4565" w:rsidRDefault="003929DA" w:rsidP="002871FC">
      <w:pPr>
        <w:pStyle w:val="normalwithoutspacing"/>
        <w:ind w:left="567" w:hanging="567"/>
      </w:pPr>
      <w:r>
        <w:rPr>
          <w:kern w:val="1"/>
        </w:rPr>
        <w:lastRenderedPageBreak/>
        <w:tab/>
      </w:r>
    </w:p>
    <w:p w14:paraId="7984FE3B" w14:textId="77777777" w:rsidR="003929DA" w:rsidRDefault="003929DA">
      <w:pPr>
        <w:pStyle w:val="2"/>
        <w:rPr>
          <w:lang w:val="el-GR"/>
        </w:rPr>
      </w:pPr>
      <w:bookmarkStart w:id="3" w:name="_Toc129004394"/>
      <w:r>
        <w:rPr>
          <w:lang w:val="el-GR"/>
        </w:rPr>
        <w:t>1.2</w:t>
      </w:r>
      <w:r>
        <w:rPr>
          <w:lang w:val="el-GR"/>
        </w:rPr>
        <w:tab/>
        <w:t>Στοιχεία Διαδικασίας-Χρηματοδότηση</w:t>
      </w:r>
      <w:bookmarkEnd w:id="3"/>
    </w:p>
    <w:p w14:paraId="7E1A165E" w14:textId="77777777" w:rsidR="003929DA" w:rsidRPr="007037EB" w:rsidRDefault="003929DA">
      <w:pPr>
        <w:rPr>
          <w:lang w:val="el-GR"/>
        </w:rPr>
      </w:pPr>
      <w:r>
        <w:rPr>
          <w:b/>
          <w:lang w:val="el-GR"/>
        </w:rPr>
        <w:t xml:space="preserve">Είδος διαδικασίας </w:t>
      </w:r>
    </w:p>
    <w:p w14:paraId="49D90B82" w14:textId="516B9F8A" w:rsidR="003929DA" w:rsidRDefault="003929DA">
      <w:pPr>
        <w:pStyle w:val="normalwithoutspacing"/>
        <w:rPr>
          <w:lang w:eastAsia="el-GR"/>
        </w:rPr>
      </w:pPr>
      <w:r>
        <w:t>Ο διαγωνισμός θα διεξαχθεί με την ανοικτή διαδικασία του άρθρου 27 του ν. 4412/16</w:t>
      </w:r>
      <w:r w:rsidR="00853E9A" w:rsidRPr="00853E9A">
        <w:t xml:space="preserve"> μέσω της Διαδικτυακής Πύλης (</w:t>
      </w:r>
      <w:proofErr w:type="spellStart"/>
      <w:r w:rsidR="00853E9A" w:rsidRPr="00853E9A">
        <w:t>www.promitheus.gov.gr</w:t>
      </w:r>
      <w:proofErr w:type="spellEnd"/>
      <w:r w:rsidR="00853E9A" w:rsidRPr="00853E9A">
        <w:t>) του ΟΠΣ ΕΣΗΔΗΣ</w:t>
      </w:r>
      <w:r>
        <w:t xml:space="preserve">. </w:t>
      </w:r>
    </w:p>
    <w:p w14:paraId="32000A50" w14:textId="77777777" w:rsidR="003929DA" w:rsidRDefault="003929DA">
      <w:pPr>
        <w:pStyle w:val="normalwithoutspacing"/>
      </w:pPr>
    </w:p>
    <w:p w14:paraId="46986352" w14:textId="77777777" w:rsidR="003929DA" w:rsidRDefault="003929DA">
      <w:pPr>
        <w:pStyle w:val="normalwithoutspacing"/>
      </w:pPr>
      <w:r>
        <w:rPr>
          <w:b/>
        </w:rPr>
        <w:t>Χρηματοδότηση της σύμβασης</w:t>
      </w:r>
      <w:r>
        <w:rPr>
          <w:rStyle w:val="a4"/>
          <w:b/>
          <w:szCs w:val="22"/>
        </w:rPr>
        <w:footnoteReference w:id="9"/>
      </w:r>
    </w:p>
    <w:p w14:paraId="5F272CD6" w14:textId="77777777" w:rsidR="00D909FB" w:rsidRDefault="00D909FB" w:rsidP="00E36D16">
      <w:pPr>
        <w:pStyle w:val="normalwithoutspacing"/>
        <w:rPr>
          <w:i/>
          <w:iCs/>
          <w:color w:val="5B9BD5"/>
          <w:kern w:val="1"/>
          <w:highlight w:val="yellow"/>
        </w:rPr>
      </w:pPr>
    </w:p>
    <w:p w14:paraId="5EE1AA04" w14:textId="70971DD2" w:rsidR="00430D31" w:rsidRPr="006F7866" w:rsidRDefault="0037683F" w:rsidP="0037683F">
      <w:pPr>
        <w:pStyle w:val="normalwithoutspacing"/>
      </w:pPr>
      <w:r w:rsidRPr="006F7866">
        <w:t>Για την παρούσα διαδικασία έχει εκδοθεί η απόφαση με αρ.</w:t>
      </w:r>
      <w:r w:rsidR="00AE4565" w:rsidRPr="006F7866">
        <w:t xml:space="preserve"> </w:t>
      </w:r>
      <w:proofErr w:type="spellStart"/>
      <w:r w:rsidRPr="006F7866">
        <w:t>πρωτ</w:t>
      </w:r>
      <w:proofErr w:type="spellEnd"/>
      <w:r w:rsidRPr="006F7866">
        <w:t xml:space="preserve">. </w:t>
      </w:r>
      <w:r w:rsidR="002871FC">
        <w:t>4182/14-08-2023</w:t>
      </w:r>
      <w:r w:rsidRPr="006F7866">
        <w:t xml:space="preserve"> </w:t>
      </w:r>
      <w:r w:rsidR="007B18F5" w:rsidRPr="006F7866">
        <w:t>(ΑΔΑΜ</w:t>
      </w:r>
      <w:r w:rsidR="002871FC">
        <w:t>: 23</w:t>
      </w:r>
      <w:r w:rsidR="002871FC">
        <w:rPr>
          <w:lang w:val="en-US"/>
        </w:rPr>
        <w:t>REQ</w:t>
      </w:r>
      <w:r w:rsidR="002871FC" w:rsidRPr="002871FC">
        <w:t>013258055</w:t>
      </w:r>
      <w:r w:rsidR="007B18F5" w:rsidRPr="006F7866">
        <w:t>, ΑΔΑ</w:t>
      </w:r>
      <w:r w:rsidR="002871FC">
        <w:t>:</w:t>
      </w:r>
      <w:r w:rsidR="000D76C0">
        <w:t xml:space="preserve"> Ψ3Π6ΩΕΟ-ΥΘΩ</w:t>
      </w:r>
      <w:r w:rsidR="007B18F5" w:rsidRPr="006F7866">
        <w:t xml:space="preserve">) </w:t>
      </w:r>
      <w:r w:rsidRPr="006F7866">
        <w:t>για την ανάληψη υποχρέωσης</w:t>
      </w:r>
      <w:r w:rsidR="000D76C0">
        <w:t xml:space="preserve"> και</w:t>
      </w:r>
      <w:r w:rsidRPr="006F7866">
        <w:t xml:space="preserve"> δέσμευσης πίστωσης για το οικονομικό έτος 20</w:t>
      </w:r>
      <w:r w:rsidR="007B18F5" w:rsidRPr="006F7866">
        <w:t>2</w:t>
      </w:r>
      <w:r w:rsidR="000D76C0">
        <w:t>3</w:t>
      </w:r>
      <w:r w:rsidRPr="006F7866">
        <w:t xml:space="preserve"> και </w:t>
      </w:r>
      <w:r w:rsidR="007B18F5" w:rsidRPr="006F7866">
        <w:t xml:space="preserve">έλαβε α/α </w:t>
      </w:r>
      <w:r w:rsidR="000D76C0">
        <w:t>287/2023</w:t>
      </w:r>
      <w:r w:rsidRPr="006F7866">
        <w:t xml:space="preserve"> καταχώρηση</w:t>
      </w:r>
      <w:r w:rsidR="007B18F5" w:rsidRPr="006F7866">
        <w:t xml:space="preserve">ς </w:t>
      </w:r>
      <w:r w:rsidRPr="006F7866">
        <w:t xml:space="preserve"> στο </w:t>
      </w:r>
      <w:r w:rsidR="007B18F5" w:rsidRPr="006F7866">
        <w:t>μητρώο δεσμεύσεων</w:t>
      </w:r>
      <w:r w:rsidR="006C2BEE">
        <w:t xml:space="preserve"> </w:t>
      </w:r>
      <w:r w:rsidR="007B18F5" w:rsidRPr="006F7866">
        <w:t>του</w:t>
      </w:r>
      <w:r w:rsidR="006C2BEE">
        <w:t xml:space="preserve"> Δήμου Ιθάκης</w:t>
      </w:r>
      <w:r w:rsidR="00430D31" w:rsidRPr="006F7866">
        <w:rPr>
          <w:rStyle w:val="ad"/>
        </w:rPr>
        <w:footnoteReference w:id="10"/>
      </w:r>
      <w:r w:rsidR="002A0571" w:rsidRPr="006F7866">
        <w:t>.</w:t>
      </w:r>
      <w:r w:rsidRPr="006F7866">
        <w:t xml:space="preserve"> </w:t>
      </w:r>
    </w:p>
    <w:p w14:paraId="1E49865E" w14:textId="30AA7C4C" w:rsidR="00AE4565" w:rsidRDefault="006C2BEE">
      <w:pPr>
        <w:pStyle w:val="normalwithoutspacing"/>
      </w:pPr>
      <w:r>
        <w:t xml:space="preserve">Η προμήθεια </w:t>
      </w:r>
      <w:r w:rsidRPr="006C2BEE">
        <w:t xml:space="preserve">έχει ενταχθεί σε κωδικό του προϋπολογισμού μας για το έτος 2023 με χρηματοδότηση που προέρχεται από το πρόγραμμα ΥΠΕΣ ΦΙΛΟΔΗΜΟΣ ΙΙ   «Προμήθεια οχήματος για ανάγκες Υπηρεσίας Καθαριότητας ΔΗΜΟΥ ΙΘΑΚΗΣ (ΦΙΛΟΔΗΜΟΣ ΙΙ) »,ποσού  60.000 € (Ευρώ) στον  </w:t>
      </w:r>
      <w:r>
        <w:t>ΚΑE 02.64.7132.03 με την αρ. 54</w:t>
      </w:r>
      <w:r w:rsidRPr="006C2BEE">
        <w:t>η- 23/08/2022</w:t>
      </w:r>
      <w:r>
        <w:t xml:space="preserve"> </w:t>
      </w:r>
      <w:r w:rsidRPr="006C2BEE">
        <w:t xml:space="preserve">απόφασης Δ/Σ του Δήμου Ιθάκης </w:t>
      </w:r>
      <w:r>
        <w:t>(</w:t>
      </w:r>
      <w:r w:rsidRPr="006C2BEE">
        <w:t>ΑΔΑ:6ΙΩΑΕΟ-0ΑΗ</w:t>
      </w:r>
      <w:r>
        <w:t>)</w:t>
      </w:r>
      <w:r w:rsidRPr="006C2BEE">
        <w:t xml:space="preserve"> και την εγκριτική της Αποκεντρωμένης Διοίκησης </w:t>
      </w:r>
      <w:proofErr w:type="spellStart"/>
      <w:r w:rsidRPr="006C2BEE">
        <w:t>Πελ</w:t>
      </w:r>
      <w:proofErr w:type="spellEnd"/>
      <w:r w:rsidRPr="006C2BEE">
        <w:t xml:space="preserve">/νήσου Δυτικής Ελλάδας &amp; Ιονίου </w:t>
      </w:r>
      <w:r>
        <w:t>(</w:t>
      </w:r>
      <w:r w:rsidRPr="006C2BEE">
        <w:t>ΑΔΑ:ΨΥΞ0ΟΡ1Φ-ΣΓΧ</w:t>
      </w:r>
      <w:r>
        <w:t>)</w:t>
      </w:r>
      <w:r w:rsidRPr="006C2BEE">
        <w:t xml:space="preserve">  και σύμφωνα με την επιχορήγηση Δήμων ΠΡΟΓΡΑΜΜΑ &lt;&lt;ΦΙΛΟΔΗΜΟΣ ΙΙ&gt;&gt;</w:t>
      </w:r>
      <w:r>
        <w:t xml:space="preserve"> (</w:t>
      </w:r>
      <w:r w:rsidRPr="006C2BEE">
        <w:t xml:space="preserve"> ΑΔΑ:6Ψ0Ι46ΜΤΛ6-ΨΒΨ</w:t>
      </w:r>
      <w:r>
        <w:t>)</w:t>
      </w:r>
      <w:r w:rsidRPr="006C2BEE">
        <w:t xml:space="preserve"> με Αρ. Πρτ. 50300 28/07/2022.</w:t>
      </w:r>
    </w:p>
    <w:p w14:paraId="05B47FB8" w14:textId="77777777" w:rsidR="003929DA" w:rsidRDefault="003929DA">
      <w:pPr>
        <w:pStyle w:val="2"/>
        <w:rPr>
          <w:lang w:val="el-GR"/>
        </w:rPr>
      </w:pPr>
      <w:bookmarkStart w:id="4" w:name="_Toc129004395"/>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14:paraId="767DDFC7" w14:textId="77777777" w:rsidR="006C2BEE" w:rsidRDefault="003929DA" w:rsidP="006C2BEE">
      <w:pPr>
        <w:rPr>
          <w:lang w:val="el-GR"/>
        </w:rPr>
      </w:pPr>
      <w:r>
        <w:rPr>
          <w:lang w:val="el-GR"/>
        </w:rPr>
        <w:t xml:space="preserve">Αντικείμενο της σύμβασης </w:t>
      </w:r>
      <w:r w:rsidR="006C2BEE">
        <w:rPr>
          <w:lang w:val="el-GR"/>
        </w:rPr>
        <w:t>η</w:t>
      </w:r>
      <w:r w:rsidR="006C2BEE" w:rsidRPr="006C2BEE">
        <w:rPr>
          <w:lang w:val="el-GR"/>
        </w:rPr>
        <w:t xml:space="preserve"> προμήθεια </w:t>
      </w:r>
      <w:r w:rsidR="006C2BEE">
        <w:rPr>
          <w:lang w:val="el-GR"/>
        </w:rPr>
        <w:t>ενός (1)</w:t>
      </w:r>
      <w:r w:rsidR="006C2BEE" w:rsidRPr="006C2BEE">
        <w:rPr>
          <w:lang w:val="el-GR"/>
        </w:rPr>
        <w:t xml:space="preserve"> φορτηγού ανοικτού ανατρεπόμενου οχήματος που είναι απαραίτητη για την ομαλή λειτουργία της υπηρεσίας Καθαριότητας.</w:t>
      </w:r>
    </w:p>
    <w:p w14:paraId="291B1FDF" w14:textId="77777777" w:rsidR="006C2BEE" w:rsidRDefault="006C2BEE" w:rsidP="006C2BEE">
      <w:pPr>
        <w:rPr>
          <w:lang w:val="el-GR"/>
        </w:rPr>
      </w:pPr>
      <w:r w:rsidRPr="006C2BEE">
        <w:rPr>
          <w:lang w:val="el-GR"/>
        </w:rPr>
        <w:t xml:space="preserve"> Η χρήση του θα βοηθήσει στην αποκομιδή ογκωδών υλικών, σε έργα πρασίνου (κοπής κλαδιών) και σε άλλες βοηθητικές εργασίες (π.χ. συντήρηση κτηρίων και μεταφορά εργαλείων των συνεργείων του Δήμου μας).</w:t>
      </w:r>
    </w:p>
    <w:p w14:paraId="1575B7DD" w14:textId="715EE3F1" w:rsidR="003929DA" w:rsidRPr="006C2BEE" w:rsidRDefault="006C2BEE">
      <w:pPr>
        <w:rPr>
          <w:b/>
          <w:lang w:val="el-GR"/>
        </w:rPr>
      </w:pPr>
      <w:r w:rsidRPr="006C2BEE">
        <w:rPr>
          <w:b/>
          <w:lang w:val="el-GR"/>
        </w:rPr>
        <w:t>Τ</w:t>
      </w:r>
      <w:r w:rsidR="000F3C43">
        <w:rPr>
          <w:b/>
          <w:lang w:val="el-GR"/>
        </w:rPr>
        <w:t>ο</w:t>
      </w:r>
      <w:r w:rsidRPr="006C2BEE">
        <w:rPr>
          <w:b/>
          <w:lang w:val="el-GR"/>
        </w:rPr>
        <w:t xml:space="preserve"> προς προμήθεια είδ</w:t>
      </w:r>
      <w:r w:rsidR="000F3C43">
        <w:rPr>
          <w:b/>
          <w:lang w:val="el-GR"/>
        </w:rPr>
        <w:t>ος</w:t>
      </w:r>
      <w:r w:rsidRPr="006C2BEE">
        <w:rPr>
          <w:b/>
          <w:lang w:val="el-GR"/>
        </w:rPr>
        <w:t xml:space="preserve"> κατατάσσ</w:t>
      </w:r>
      <w:r w:rsidR="000F3C43">
        <w:rPr>
          <w:b/>
          <w:lang w:val="el-GR"/>
        </w:rPr>
        <w:t>ε</w:t>
      </w:r>
      <w:r w:rsidRPr="006C2BEE">
        <w:rPr>
          <w:b/>
          <w:lang w:val="el-GR"/>
        </w:rPr>
        <w:t>ται στο</w:t>
      </w:r>
      <w:r w:rsidR="000F3C43">
        <w:rPr>
          <w:b/>
          <w:lang w:val="el-GR"/>
        </w:rPr>
        <w:t>ν</w:t>
      </w:r>
      <w:r w:rsidRPr="006C2BEE">
        <w:rPr>
          <w:b/>
          <w:lang w:val="el-GR"/>
        </w:rPr>
        <w:t xml:space="preserve"> ακόλουθο</w:t>
      </w:r>
      <w:r w:rsidR="000F3C43">
        <w:rPr>
          <w:b/>
          <w:lang w:val="el-GR"/>
        </w:rPr>
        <w:t xml:space="preserve"> κωδικό</w:t>
      </w:r>
      <w:r w:rsidRPr="006C2BEE">
        <w:rPr>
          <w:b/>
          <w:lang w:val="el-GR"/>
        </w:rPr>
        <w:t xml:space="preserve"> του Κοινού Λεξιλογίου δημοσίων συμβάσεων (CPV) : 34134200-7 «Φορτηγά με ανατρεπόμενη καρότσα»</w:t>
      </w:r>
    </w:p>
    <w:p w14:paraId="50FF8C23" w14:textId="623F4788" w:rsidR="003929DA" w:rsidRDefault="003929DA">
      <w:pPr>
        <w:pStyle w:val="normalwithoutspacing"/>
      </w:pPr>
      <w:r>
        <w:t xml:space="preserve">Η εκτιμώμενη αξία της σύμβασης ανέρχεται στο ποσό των </w:t>
      </w:r>
      <w:r w:rsidR="00393E9E">
        <w:t>48.387,10</w:t>
      </w:r>
      <w:r>
        <w:t xml:space="preserve"> € </w:t>
      </w:r>
      <w:r w:rsidR="00182FE8">
        <w:t xml:space="preserve">μη </w:t>
      </w:r>
      <w:r w:rsidR="00393E9E">
        <w:t>συμπεριλαμβανομένου ΦΠΑ 24</w:t>
      </w:r>
      <w:r>
        <w:t xml:space="preserve"> % (εκτιμώμενη αξία </w:t>
      </w:r>
      <w:r w:rsidR="00182FE8">
        <w:t xml:space="preserve">συμπεριλαμβανομένου </w:t>
      </w:r>
      <w:r>
        <w:t>ΦΠΑ:</w:t>
      </w:r>
      <w:r w:rsidR="00393E9E">
        <w:t>60.000,00 ευρώ</w:t>
      </w:r>
      <w:r w:rsidR="0031698B">
        <w:t>)</w:t>
      </w:r>
      <w:r>
        <w:t xml:space="preserve">  ΦΠΑ </w:t>
      </w:r>
      <w:r w:rsidR="00393E9E" w:rsidRPr="00393E9E">
        <w:t>€ 11.612,90</w:t>
      </w:r>
    </w:p>
    <w:p w14:paraId="76B001AA" w14:textId="77777777" w:rsidR="0031698B" w:rsidRDefault="0031698B">
      <w:pPr>
        <w:pStyle w:val="normalwithoutspacing"/>
        <w:rPr>
          <w:i/>
          <w:iCs/>
          <w:color w:val="5B9BD5"/>
        </w:rPr>
      </w:pPr>
    </w:p>
    <w:p w14:paraId="650A5C07" w14:textId="337327DB" w:rsidR="003929DA" w:rsidRPr="009C31D5" w:rsidRDefault="003929DA">
      <w:pPr>
        <w:rPr>
          <w:i/>
          <w:iCs/>
          <w:color w:val="5B9BD5"/>
          <w:lang w:val="el-GR"/>
        </w:rPr>
      </w:pPr>
      <w:r w:rsidRPr="006F7866">
        <w:rPr>
          <w:lang w:val="el-GR"/>
        </w:rPr>
        <w:t>Η διάρκεια της σύμβασης ορίζεται  σε</w:t>
      </w:r>
      <w:r w:rsidR="00B94CD0">
        <w:rPr>
          <w:lang w:val="el-GR"/>
        </w:rPr>
        <w:t xml:space="preserve">  ένα (1) έτος από την υπογραφή του συμφωνητικού.</w:t>
      </w:r>
      <w:r w:rsidR="00D83C6C" w:rsidRPr="006F7866">
        <w:rPr>
          <w:lang w:val="el-GR"/>
        </w:rPr>
        <w:t xml:space="preserve"> </w:t>
      </w:r>
      <w:r w:rsidR="00D83C6C" w:rsidRPr="006F7866">
        <w:rPr>
          <w:i/>
          <w:iCs/>
          <w:color w:val="5B9BD5"/>
          <w:lang w:val="el-GR"/>
        </w:rPr>
        <w:t xml:space="preserve"> </w:t>
      </w:r>
    </w:p>
    <w:p w14:paraId="59796E41" w14:textId="0AE8D535" w:rsidR="003929DA" w:rsidRPr="001611ED" w:rsidRDefault="003929DA">
      <w:pPr>
        <w:rPr>
          <w:lang w:val="el-GR"/>
        </w:rPr>
      </w:pPr>
      <w:r>
        <w:rPr>
          <w:lang w:val="el-GR"/>
        </w:rPr>
        <w:t xml:space="preserve">Αναλυτική περιγραφή του φυσικού και οικονομικού αντικειμένου της σύμβασης δίδεται στο ΠΑΡΑΡΤΗΜΑ </w:t>
      </w:r>
      <w:r w:rsidR="00B94CD0">
        <w:rPr>
          <w:lang w:val="el-GR"/>
        </w:rPr>
        <w:t xml:space="preserve">Ι </w:t>
      </w:r>
      <w:r>
        <w:rPr>
          <w:lang w:val="el-GR"/>
        </w:rPr>
        <w:t xml:space="preserve">της παρούσας διακήρυξης. </w:t>
      </w:r>
    </w:p>
    <w:p w14:paraId="22879B2B" w14:textId="027AF45C" w:rsidR="003929DA" w:rsidRPr="00B94CD0" w:rsidRDefault="00B94CD0">
      <w:pPr>
        <w:pStyle w:val="normalwithoutspacing"/>
        <w:rPr>
          <w:b/>
          <w:i/>
          <w:color w:val="5B9BD5"/>
        </w:rPr>
      </w:pPr>
      <w:r w:rsidRPr="00B94CD0">
        <w:rPr>
          <w:b/>
        </w:rPr>
        <w:lastRenderedPageBreak/>
        <w:t>Κριτήριο ανάθεσης της Σύμβασης είναι η πλέον συμφέρουσα από οικονομική άποψη προσφορά, βάσει της βέλτιστης σχέσης ποιότητας – τιμής.</w:t>
      </w:r>
    </w:p>
    <w:p w14:paraId="79EA30D9" w14:textId="77777777" w:rsidR="003929DA" w:rsidRDefault="003929DA">
      <w:pPr>
        <w:pStyle w:val="2"/>
        <w:rPr>
          <w:lang w:val="el-GR"/>
        </w:rPr>
      </w:pPr>
      <w:bookmarkStart w:id="5" w:name="_Toc129004396"/>
      <w:r>
        <w:rPr>
          <w:lang w:val="el-GR"/>
        </w:rPr>
        <w:t>1.4</w:t>
      </w:r>
      <w:r>
        <w:rPr>
          <w:lang w:val="el-GR"/>
        </w:rPr>
        <w:tab/>
        <w:t>Θεσμικό πλαίσιο</w:t>
      </w:r>
      <w:bookmarkEnd w:id="5"/>
      <w:r>
        <w:rPr>
          <w:lang w:val="el-GR"/>
        </w:rPr>
        <w:t xml:space="preserve"> </w:t>
      </w:r>
    </w:p>
    <w:p w14:paraId="2860DF62" w14:textId="77777777" w:rsidR="00DE2F44" w:rsidRDefault="00DE2F44" w:rsidP="00DE2F44">
      <w:pPr>
        <w:rPr>
          <w:lang w:val="el-GR"/>
        </w:rPr>
      </w:pPr>
      <w:r>
        <w:rPr>
          <w:lang w:val="el-GR"/>
        </w:rPr>
        <w:t xml:space="preserve">Η ανάθεση και εκτέλεση της σύμβασης διέπονται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r>
        <w:rPr>
          <w:rStyle w:val="a8"/>
          <w:szCs w:val="22"/>
        </w:rPr>
        <w:footnoteReference w:id="11"/>
      </w:r>
      <w:r>
        <w:rPr>
          <w:lang w:val="el-GR"/>
        </w:rPr>
        <w:t>:</w:t>
      </w:r>
    </w:p>
    <w:p w14:paraId="201BCB48" w14:textId="688C751F"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7E25656E" w14:textId="77777777" w:rsidR="00344E52" w:rsidRPr="006B36B5" w:rsidRDefault="003C7A40" w:rsidP="00344E52">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41942028" w14:textId="2E8ABB20"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14:paraId="71380B12" w14:textId="239994CC"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3B1E3931"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351B0088" w14:textId="33CB9C41" w:rsidR="00DE2F44" w:rsidRPr="001C1814" w:rsidRDefault="00DE2F44" w:rsidP="000F3C43">
      <w:pPr>
        <w:numPr>
          <w:ilvl w:val="0"/>
          <w:numId w:val="17"/>
        </w:numPr>
        <w:ind w:left="284" w:hanging="284"/>
        <w:rPr>
          <w:i/>
          <w:iCs/>
          <w:color w:val="5B9BD5"/>
          <w:lang w:val="el-GR"/>
        </w:rPr>
      </w:pPr>
      <w:r w:rsidRPr="001C1814">
        <w:rPr>
          <w:lang w:val="el-GR"/>
        </w:rPr>
        <w:lastRenderedPageBreak/>
        <w:t>τη</w:t>
      </w:r>
      <w:r w:rsidR="00471A32" w:rsidRPr="001C1814">
        <w:rPr>
          <w:lang w:val="el-GR"/>
        </w:rPr>
        <w:t>ς</w:t>
      </w:r>
      <w:r w:rsidRPr="001C1814">
        <w:rPr>
          <w:lang w:val="el-GR"/>
        </w:rPr>
        <w:t xml:space="preserve"> </w:t>
      </w:r>
      <w:r w:rsidR="008E32B1">
        <w:rPr>
          <w:lang w:val="el-GR"/>
        </w:rPr>
        <w:t xml:space="preserve">υπ’ </w:t>
      </w:r>
      <w:proofErr w:type="spellStart"/>
      <w:r w:rsidRPr="001C1814">
        <w:rPr>
          <w:lang w:val="el-GR"/>
        </w:rPr>
        <w:t>αριθμ</w:t>
      </w:r>
      <w:proofErr w:type="spellEnd"/>
      <w:r w:rsidRPr="001C1814">
        <w:rPr>
          <w:lang w:val="el-GR"/>
        </w:rPr>
        <w:t>. Κ.Υ.Α. οικ. 14900/21 (Β’ 466):</w:t>
      </w:r>
      <w:r w:rsidRPr="001C1814">
        <w:rPr>
          <w:i/>
          <w:lang w:val="el-GR"/>
        </w:rPr>
        <w:t xml:space="preserve"> </w:t>
      </w:r>
      <w:r w:rsidRPr="001C1814">
        <w:rPr>
          <w:lang w:val="el-GR"/>
        </w:rPr>
        <w:t>«Έγκριση σχεδίου Δράσης για τις Πράσινες Δημόσιες Συμβάσεις»</w:t>
      </w:r>
      <w:r w:rsidRPr="001C1814">
        <w:rPr>
          <w:i/>
          <w:lang w:val="el-GR"/>
        </w:rPr>
        <w:t xml:space="preserve"> (ΑΔΑ: ΨΡΤΟ46ΜΤΛΡ-Χ92</w:t>
      </w:r>
    </w:p>
    <w:p w14:paraId="2EC594E9" w14:textId="3E0816EF"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14:paraId="67F034E0" w14:textId="6EA0ED89"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14:paraId="05295C8E" w14:textId="0ADED93C"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14:paraId="1ED06BA2" w14:textId="77777777"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14:paraId="3CBDFA99" w14:textId="77777777"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4383C4" w14:textId="52E56BAF" w:rsidR="00D455D4" w:rsidRPr="00957158" w:rsidRDefault="00D455D4" w:rsidP="006C4698">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14:paraId="3C22DB48" w14:textId="69A8132A"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14:paraId="20433445" w14:textId="021C938E"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14:paraId="4D39101C" w14:textId="25321897"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14:paraId="212BE23B" w14:textId="20C2D19F"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14:paraId="2B92C607" w14:textId="49873971"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14:paraId="38C3D728" w14:textId="5318942C"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14:paraId="4C21E07D" w14:textId="77777777"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4AADF5C6" w14:textId="20ADD2E3" w:rsidR="005E1BED" w:rsidRPr="00AC74D1" w:rsidRDefault="005E1BED" w:rsidP="00AB2549">
      <w:pPr>
        <w:ind w:left="720"/>
        <w:rPr>
          <w:szCs w:val="22"/>
          <w:lang w:val="el-GR"/>
        </w:rPr>
      </w:pPr>
      <w:r w:rsidRPr="00AC74D1">
        <w:rPr>
          <w:szCs w:val="22"/>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sidRPr="00AC74D1">
        <w:rPr>
          <w:szCs w:val="22"/>
          <w:lang w:val="el-GR"/>
        </w:rPr>
        <w:t>,</w:t>
      </w:r>
    </w:p>
    <w:p w14:paraId="253625B5" w14:textId="77777777" w:rsidR="000F3C43" w:rsidRPr="00AC74D1" w:rsidRDefault="005054D1" w:rsidP="00AC74D1">
      <w:pPr>
        <w:numPr>
          <w:ilvl w:val="0"/>
          <w:numId w:val="23"/>
        </w:numPr>
        <w:rPr>
          <w:rFonts w:asciiTheme="minorHAnsi" w:hAnsiTheme="minorHAnsi" w:cstheme="minorHAnsi"/>
          <w:szCs w:val="22"/>
          <w:lang w:val="el-GR"/>
        </w:rPr>
      </w:pPr>
      <w:r w:rsidRPr="00AC74D1">
        <w:rPr>
          <w:szCs w:val="22"/>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w:t>
      </w:r>
      <w:r w:rsidRPr="00AC74D1">
        <w:rPr>
          <w:rFonts w:asciiTheme="minorHAnsi" w:hAnsiTheme="minorHAnsi" w:cstheme="minorHAnsi"/>
          <w:szCs w:val="22"/>
          <w:lang w:val="el-GR"/>
        </w:rPr>
        <w:t>Κανονισμός για την Προστασία Δεδομένων) (Κείμενο που παρουσιάζει ενδιαφέρον για τον ΕΟΧ) OJ L 119</w:t>
      </w:r>
    </w:p>
    <w:p w14:paraId="5F614421" w14:textId="15D9094C" w:rsidR="00AC74D1" w:rsidRDefault="00AC74D1" w:rsidP="00AC74D1">
      <w:pPr>
        <w:pStyle w:val="aff1"/>
        <w:numPr>
          <w:ilvl w:val="0"/>
          <w:numId w:val="23"/>
        </w:numPr>
        <w:spacing w:line="276" w:lineRule="auto"/>
        <w:jc w:val="both"/>
        <w:rPr>
          <w:rFonts w:asciiTheme="minorHAnsi" w:hAnsiTheme="minorHAnsi" w:cstheme="minorHAnsi"/>
          <w:sz w:val="22"/>
          <w:szCs w:val="22"/>
          <w:lang w:val="el-GR"/>
        </w:rPr>
      </w:pPr>
      <w:r w:rsidRPr="00AC74D1">
        <w:rPr>
          <w:rFonts w:asciiTheme="minorHAnsi" w:hAnsiTheme="minorHAnsi" w:cstheme="minorHAnsi"/>
          <w:sz w:val="22"/>
          <w:szCs w:val="22"/>
          <w:lang w:val="el-GR"/>
        </w:rPr>
        <w:lastRenderedPageBreak/>
        <w:t xml:space="preserve">του ν. 4555/2018 (Α’ 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 των σε εκτέλεση των ανωτέρω νόμων </w:t>
      </w:r>
      <w:proofErr w:type="spellStart"/>
      <w:r w:rsidRPr="00AC74D1">
        <w:rPr>
          <w:rFonts w:asciiTheme="minorHAnsi" w:hAnsiTheme="minorHAnsi" w:cstheme="minorHAnsi"/>
          <w:sz w:val="22"/>
          <w:szCs w:val="22"/>
          <w:lang w:val="el-GR"/>
        </w:rPr>
        <w:t>εκδοθεισών</w:t>
      </w:r>
      <w:proofErr w:type="spellEnd"/>
      <w:r w:rsidRPr="00AC74D1">
        <w:rPr>
          <w:rFonts w:asciiTheme="minorHAnsi" w:hAnsiTheme="minorHAnsi" w:cstheme="minorHAnsi"/>
          <w:sz w:val="22"/>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49AACC9" w14:textId="0D56ACCF" w:rsidR="00034074" w:rsidRDefault="00034074" w:rsidP="00AC74D1">
      <w:pPr>
        <w:pStyle w:val="aff1"/>
        <w:numPr>
          <w:ilvl w:val="0"/>
          <w:numId w:val="23"/>
        </w:num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Της με αρ.πρωτ.50300/28-07-2022 απόφασης ΥΠΕΣ της Δ/</w:t>
      </w:r>
      <w:proofErr w:type="spellStart"/>
      <w:r>
        <w:rPr>
          <w:rFonts w:asciiTheme="minorHAnsi" w:hAnsiTheme="minorHAnsi" w:cstheme="minorHAnsi"/>
          <w:sz w:val="22"/>
          <w:szCs w:val="22"/>
          <w:lang w:val="el-GR"/>
        </w:rPr>
        <w:t>νσης</w:t>
      </w:r>
      <w:proofErr w:type="spellEnd"/>
      <w:r>
        <w:rPr>
          <w:rFonts w:asciiTheme="minorHAnsi" w:hAnsiTheme="minorHAnsi" w:cstheme="minorHAnsi"/>
          <w:sz w:val="22"/>
          <w:szCs w:val="22"/>
          <w:lang w:val="el-GR"/>
        </w:rPr>
        <w:t xml:space="preserve"> Οικονομικής και Αναπτυξιακής Πολιτικής για το ΠΡΟΓΡΑΜΜΑ «ΦΙΛΟΔΗΜΟΣ ΙΙ» και την επιχορήγηση των Δήμων με τίτλο:» Προμήθεια απορριμματοφόρων οχημάτων, μηχανημάτων έργου και συνοδευτικού εξοπλισμού».</w:t>
      </w:r>
    </w:p>
    <w:p w14:paraId="69E94DFA" w14:textId="79D2BBF2" w:rsidR="00034074" w:rsidRDefault="00034074" w:rsidP="00AC74D1">
      <w:pPr>
        <w:pStyle w:val="aff1"/>
        <w:numPr>
          <w:ilvl w:val="0"/>
          <w:numId w:val="23"/>
        </w:num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Της με αρ.πρωτ.58508/29-06-2023 απόφασης (ΑΔΑ: 6ΜΑ7ΟΡ1Φ-Θ14) της Αποκεντρωμένης Διοίκησης </w:t>
      </w:r>
      <w:proofErr w:type="spellStart"/>
      <w:r>
        <w:rPr>
          <w:rFonts w:asciiTheme="minorHAnsi" w:hAnsiTheme="minorHAnsi" w:cstheme="minorHAnsi"/>
          <w:sz w:val="22"/>
          <w:szCs w:val="22"/>
          <w:lang w:val="el-GR"/>
        </w:rPr>
        <w:t>Δυτ.Ελλάδος</w:t>
      </w:r>
      <w:proofErr w:type="spellEnd"/>
      <w:r>
        <w:rPr>
          <w:rFonts w:asciiTheme="minorHAnsi" w:hAnsiTheme="minorHAnsi" w:cstheme="minorHAnsi"/>
          <w:sz w:val="22"/>
          <w:szCs w:val="22"/>
          <w:lang w:val="el-GR"/>
        </w:rPr>
        <w:t xml:space="preserve"> και Ιονίου, η οποία ενέκρινε την αγορά του οχήματος από το ελεύθερο εμπόριο για το Δήμο Ιθάκης.</w:t>
      </w:r>
    </w:p>
    <w:p w14:paraId="61217505" w14:textId="77777777" w:rsidR="00AB2549" w:rsidRDefault="00AB2549" w:rsidP="00AB2549">
      <w:pPr>
        <w:ind w:left="284"/>
        <w:rPr>
          <w:rFonts w:asciiTheme="minorHAnsi" w:hAnsiTheme="minorHAnsi" w:cstheme="minorHAnsi"/>
          <w:szCs w:val="22"/>
          <w:lang w:val="el-GR" w:eastAsia="el-GR"/>
        </w:rPr>
      </w:pPr>
      <w:r w:rsidRPr="00AB2549">
        <w:rPr>
          <w:rFonts w:asciiTheme="minorHAnsi" w:hAnsiTheme="minorHAnsi" w:cstheme="minorHAnsi"/>
          <w:szCs w:val="22"/>
          <w:lang w:val="el-GR" w:eastAsia="el-GR"/>
        </w:rPr>
        <w:t>- την αριθ.</w:t>
      </w:r>
      <w:r>
        <w:rPr>
          <w:rFonts w:asciiTheme="minorHAnsi" w:hAnsiTheme="minorHAnsi" w:cstheme="minorHAnsi"/>
          <w:szCs w:val="22"/>
          <w:lang w:val="el-GR" w:eastAsia="el-GR"/>
        </w:rPr>
        <w:t>37/2023</w:t>
      </w:r>
      <w:r w:rsidRPr="00AB2549">
        <w:rPr>
          <w:rFonts w:asciiTheme="minorHAnsi" w:hAnsiTheme="minorHAnsi" w:cstheme="minorHAnsi"/>
          <w:szCs w:val="22"/>
          <w:lang w:val="el-GR" w:eastAsia="el-GR"/>
        </w:rPr>
        <w:t xml:space="preserve"> μελέτη που συνέταξε η Δ/</w:t>
      </w:r>
      <w:proofErr w:type="spellStart"/>
      <w:r w:rsidRPr="00AB2549">
        <w:rPr>
          <w:rFonts w:asciiTheme="minorHAnsi" w:hAnsiTheme="minorHAnsi" w:cstheme="minorHAnsi"/>
          <w:szCs w:val="22"/>
          <w:lang w:val="el-GR" w:eastAsia="el-GR"/>
        </w:rPr>
        <w:t>νση</w:t>
      </w:r>
      <w:proofErr w:type="spellEnd"/>
      <w:r w:rsidRPr="00AB2549">
        <w:rPr>
          <w:rFonts w:asciiTheme="minorHAnsi" w:hAnsiTheme="minorHAnsi" w:cstheme="minorHAnsi"/>
          <w:szCs w:val="22"/>
          <w:lang w:val="el-GR" w:eastAsia="el-GR"/>
        </w:rPr>
        <w:t xml:space="preserve"> Τεχνικών Υπηρεσιών του Δήμου Ιθάκης για την προμήθεια ενός (1) φορτηγού ανοικτού ανατρεπόμενου οχήματος που είναι απαραίτητη για την ομαλή λειτουργία της υπηρεσίας Καθαριότητας</w:t>
      </w:r>
      <w:r>
        <w:rPr>
          <w:rFonts w:asciiTheme="minorHAnsi" w:hAnsiTheme="minorHAnsi" w:cstheme="minorHAnsi"/>
          <w:szCs w:val="22"/>
          <w:lang w:val="el-GR" w:eastAsia="el-GR"/>
        </w:rPr>
        <w:t>.</w:t>
      </w:r>
    </w:p>
    <w:p w14:paraId="189E29D3" w14:textId="0F489025" w:rsidR="00AB2549" w:rsidRPr="00AB2549" w:rsidRDefault="00AB2549" w:rsidP="00AB2549">
      <w:pPr>
        <w:ind w:left="284"/>
        <w:rPr>
          <w:rFonts w:asciiTheme="minorHAnsi" w:hAnsiTheme="minorHAnsi" w:cstheme="minorHAnsi"/>
          <w:szCs w:val="22"/>
          <w:lang w:val="el-GR" w:eastAsia="el-GR"/>
        </w:rPr>
      </w:pPr>
      <w:r>
        <w:rPr>
          <w:rFonts w:asciiTheme="minorHAnsi" w:hAnsiTheme="minorHAnsi" w:cstheme="minorHAnsi"/>
          <w:szCs w:val="22"/>
          <w:lang w:val="el-GR" w:eastAsia="el-GR"/>
        </w:rPr>
        <w:t xml:space="preserve">- </w:t>
      </w:r>
      <w:r w:rsidRPr="00AB2549">
        <w:rPr>
          <w:rFonts w:asciiTheme="minorHAnsi" w:hAnsiTheme="minorHAnsi" w:cstheme="minorHAnsi"/>
          <w:szCs w:val="22"/>
          <w:lang w:val="el-GR" w:eastAsia="el-GR"/>
        </w:rPr>
        <w:t>Την αρ.14/2023 απόφαση της Οικονομικής Επιτροπής (ΑΔΑ:97ΒΟΩΕΟ-1ΩΑ), με την οποία συγκροτήθηκε η Επιτροπή για τη διεξαγωγή/αξιολόγηση των δημόσιων διαγωνισμών προμηθειών, υπηρεσιών 2023 για το Δήμο Ιθάκης.</w:t>
      </w:r>
    </w:p>
    <w:p w14:paraId="06B741FF" w14:textId="6DCEA76B" w:rsidR="00AB2549" w:rsidRDefault="00AB2549" w:rsidP="00AB2549">
      <w:pPr>
        <w:ind w:left="284"/>
        <w:rPr>
          <w:rFonts w:asciiTheme="minorHAnsi" w:hAnsiTheme="minorHAnsi" w:cstheme="minorHAnsi"/>
          <w:szCs w:val="22"/>
          <w:lang w:val="el-GR" w:eastAsia="el-GR"/>
        </w:rPr>
      </w:pPr>
      <w:r>
        <w:rPr>
          <w:rFonts w:asciiTheme="minorHAnsi" w:hAnsiTheme="minorHAnsi" w:cstheme="minorHAnsi"/>
          <w:szCs w:val="22"/>
          <w:lang w:val="el-GR" w:eastAsia="el-GR"/>
        </w:rPr>
        <w:t xml:space="preserve">- </w:t>
      </w:r>
      <w:r w:rsidRPr="00AB2549">
        <w:rPr>
          <w:rFonts w:asciiTheme="minorHAnsi" w:hAnsiTheme="minorHAnsi" w:cstheme="minorHAnsi"/>
          <w:szCs w:val="22"/>
          <w:lang w:val="el-GR" w:eastAsia="el-GR"/>
        </w:rPr>
        <w:t xml:space="preserve">Την αρ.32/2023 απόφαση της Οικονομικής Επιτροπής (ΑΔΑ:6ΩΞ8ΩΕΟ-5Ω7), με την οποία συγκροτήθηκε η Επιτροπή για την αξιολόγηση των ενστάσεων των δημόσιων διαγωνισμών προμηθειών, υπηρεσιών 2023 για το Δήμο Ιθάκης. </w:t>
      </w:r>
    </w:p>
    <w:p w14:paraId="5DA147B3" w14:textId="7FD464A1" w:rsidR="00AB2549" w:rsidRPr="00AB2549" w:rsidRDefault="00AB2549" w:rsidP="00AB2549">
      <w:pPr>
        <w:ind w:left="284"/>
        <w:rPr>
          <w:rFonts w:asciiTheme="minorHAnsi" w:hAnsiTheme="minorHAnsi" w:cstheme="minorHAnsi"/>
          <w:szCs w:val="22"/>
          <w:lang w:val="el-GR" w:eastAsia="el-GR"/>
        </w:rPr>
      </w:pPr>
      <w:r>
        <w:rPr>
          <w:rFonts w:asciiTheme="minorHAnsi" w:hAnsiTheme="minorHAnsi" w:cstheme="minorHAnsi"/>
          <w:szCs w:val="22"/>
          <w:lang w:val="el-GR" w:eastAsia="el-GR"/>
        </w:rPr>
        <w:t>- Τη με αρ.πρωτ.4641/2023 απόφαση πολυετούς δαπάνης του Δημάρχου (ΑΔΑ: 9Ο7ΣΩΕΟ-Θ9Υ).</w:t>
      </w:r>
    </w:p>
    <w:p w14:paraId="3F6B8BE9" w14:textId="545A167D" w:rsidR="00AB2549" w:rsidRPr="00AB2549" w:rsidRDefault="00AB2549" w:rsidP="00AB2549">
      <w:pPr>
        <w:ind w:left="284"/>
        <w:rPr>
          <w:rFonts w:asciiTheme="minorHAnsi" w:hAnsiTheme="minorHAnsi" w:cstheme="minorHAnsi"/>
          <w:szCs w:val="22"/>
          <w:lang w:val="el-GR" w:eastAsia="el-GR"/>
        </w:rPr>
      </w:pPr>
      <w:r w:rsidRPr="00AB2549">
        <w:rPr>
          <w:rFonts w:asciiTheme="minorHAnsi" w:hAnsiTheme="minorHAnsi" w:cstheme="minorHAnsi"/>
          <w:szCs w:val="22"/>
          <w:lang w:val="el-GR" w:eastAsia="el-GR"/>
        </w:rPr>
        <w:t>Της αρ</w:t>
      </w:r>
      <w:r>
        <w:rPr>
          <w:rFonts w:asciiTheme="minorHAnsi" w:hAnsiTheme="minorHAnsi" w:cstheme="minorHAnsi"/>
          <w:szCs w:val="22"/>
          <w:lang w:val="el-GR" w:eastAsia="el-GR"/>
        </w:rPr>
        <w:t>. ……….</w:t>
      </w:r>
      <w:r w:rsidRPr="00AB2549">
        <w:rPr>
          <w:rFonts w:asciiTheme="minorHAnsi" w:hAnsiTheme="minorHAnsi" w:cstheme="minorHAnsi"/>
          <w:szCs w:val="22"/>
          <w:lang w:val="el-GR" w:eastAsia="el-GR"/>
        </w:rPr>
        <w:t>/2023 απόφασης της Οικονομικής Επιτροπής για την έγκριση της προμήθειας και των όρων της διακήρυξης (ΑΔΑ:</w:t>
      </w:r>
      <w:r>
        <w:rPr>
          <w:rFonts w:asciiTheme="minorHAnsi" w:hAnsiTheme="minorHAnsi" w:cstheme="minorHAnsi"/>
          <w:szCs w:val="22"/>
          <w:lang w:val="el-GR" w:eastAsia="el-GR"/>
        </w:rPr>
        <w:t>……………………………………….</w:t>
      </w:r>
      <w:r w:rsidRPr="00AB2549">
        <w:rPr>
          <w:rFonts w:asciiTheme="minorHAnsi" w:hAnsiTheme="minorHAnsi" w:cstheme="minorHAnsi"/>
          <w:szCs w:val="22"/>
          <w:lang w:val="el-GR" w:eastAsia="el-GR"/>
        </w:rPr>
        <w:t>).</w:t>
      </w:r>
    </w:p>
    <w:p w14:paraId="2CCED5C0" w14:textId="77777777" w:rsidR="003929DA" w:rsidRDefault="003929DA">
      <w:pPr>
        <w:ind w:left="284"/>
        <w:rPr>
          <w:lang w:val="el-GR"/>
        </w:rPr>
      </w:pPr>
    </w:p>
    <w:p w14:paraId="15EAFC52" w14:textId="77777777" w:rsidR="003929DA" w:rsidRDefault="003929DA">
      <w:pPr>
        <w:pStyle w:val="2"/>
        <w:rPr>
          <w:lang w:val="el-GR" w:eastAsia="el-GR"/>
        </w:rPr>
      </w:pPr>
      <w:bookmarkStart w:id="6" w:name="_Toc129004397"/>
      <w:r>
        <w:rPr>
          <w:lang w:val="el-GR"/>
        </w:rPr>
        <w:t>1.5</w:t>
      </w:r>
      <w:r>
        <w:rPr>
          <w:lang w:val="el-GR"/>
        </w:rPr>
        <w:tab/>
        <w:t>Προθεσμία παραλαβής προσφορών</w:t>
      </w:r>
      <w:bookmarkEnd w:id="6"/>
      <w:r>
        <w:rPr>
          <w:lang w:val="el-GR"/>
        </w:rPr>
        <w:t xml:space="preserve"> </w:t>
      </w:r>
    </w:p>
    <w:p w14:paraId="72DE99E5" w14:textId="77777777" w:rsidR="003929DA" w:rsidRDefault="003929DA">
      <w:pPr>
        <w:rPr>
          <w:lang w:val="el-GR" w:eastAsia="el-GR"/>
        </w:rPr>
      </w:pPr>
      <w:r>
        <w:rPr>
          <w:lang w:val="el-GR" w:eastAsia="el-GR"/>
        </w:rPr>
        <w:t>Η καταληκτική ημερομηνία παραλαβής των προσφορών είναι η ..../....../........και ώρα ..........</w:t>
      </w:r>
      <w:r>
        <w:rPr>
          <w:rStyle w:val="WW-FootnoteReference7"/>
          <w:lang w:val="el-GR" w:eastAsia="el-GR"/>
        </w:rPr>
        <w:footnoteReference w:id="12"/>
      </w:r>
    </w:p>
    <w:p w14:paraId="30B15AFE" w14:textId="39F92802"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9"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14:paraId="1EFC96F2" w14:textId="77777777" w:rsidR="00AE4565" w:rsidRDefault="00AE4565">
      <w:pPr>
        <w:rPr>
          <w:lang w:val="el-GR"/>
        </w:rPr>
      </w:pPr>
    </w:p>
    <w:p w14:paraId="5B377F21" w14:textId="77777777" w:rsidR="003929DA" w:rsidRDefault="003929DA">
      <w:pPr>
        <w:pStyle w:val="2"/>
        <w:rPr>
          <w:lang w:val="el-GR"/>
        </w:rPr>
      </w:pPr>
      <w:bookmarkStart w:id="7" w:name="_Toc129004398"/>
      <w:r>
        <w:rPr>
          <w:lang w:val="el-GR"/>
        </w:rPr>
        <w:t>1.6</w:t>
      </w:r>
      <w:r>
        <w:rPr>
          <w:lang w:val="el-GR"/>
        </w:rPr>
        <w:tab/>
        <w:t>Δημοσιότητα</w:t>
      </w:r>
      <w:bookmarkEnd w:id="7"/>
    </w:p>
    <w:p w14:paraId="05069F42" w14:textId="06456FD3" w:rsidR="003929DA" w:rsidRDefault="00AE4565">
      <w:pPr>
        <w:rPr>
          <w:lang w:val="el-GR"/>
        </w:rPr>
      </w:pPr>
      <w:r>
        <w:rPr>
          <w:b/>
          <w:lang w:val="el-GR"/>
        </w:rPr>
        <w:t xml:space="preserve"> </w:t>
      </w:r>
      <w:r>
        <w:rPr>
          <w:b/>
          <w:lang w:val="el-GR"/>
        </w:rPr>
        <w:tab/>
      </w:r>
      <w:r w:rsidR="003929DA">
        <w:rPr>
          <w:b/>
          <w:lang w:val="el-GR"/>
        </w:rPr>
        <w:t xml:space="preserve">Δημοσίευση σε εθνικό επίπεδο </w:t>
      </w:r>
      <w:r w:rsidR="003929DA">
        <w:rPr>
          <w:rStyle w:val="a4"/>
          <w:rFonts w:cs="Calibri"/>
          <w:b/>
          <w:szCs w:val="22"/>
        </w:rPr>
        <w:footnoteReference w:id="13"/>
      </w:r>
    </w:p>
    <w:p w14:paraId="6A18562E" w14:textId="77777777" w:rsidR="003929DA" w:rsidRDefault="003929DA">
      <w:pPr>
        <w:rPr>
          <w:lang w:val="el-GR"/>
        </w:rPr>
      </w:pPr>
      <w:r>
        <w:rPr>
          <w:lang w:val="el-GR"/>
        </w:rPr>
        <w:lastRenderedPageBreak/>
        <w:t>Η προκήρυξη</w:t>
      </w:r>
      <w:r w:rsidR="00F91EAC">
        <w:rPr>
          <w:rStyle w:val="ad"/>
          <w:lang w:val="el-GR"/>
        </w:rPr>
        <w:footnoteReference w:id="14"/>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42AF0D2F" w14:textId="28FEF2AC"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8B18D8">
        <w:rPr>
          <w:color w:val="FF0000"/>
          <w:lang w:val="el-GR"/>
        </w:rPr>
        <w:t>Συστημικό</w:t>
      </w:r>
      <w:proofErr w:type="spellEnd"/>
      <w:r w:rsidRPr="008B18D8">
        <w:rPr>
          <w:color w:val="FF0000"/>
          <w:lang w:val="el-GR"/>
        </w:rPr>
        <w:t xml:space="preserve"> Αύξοντα Αριθμό:  … </w:t>
      </w:r>
      <w:r w:rsidRPr="008B18D8">
        <w:rPr>
          <w:i/>
          <w:iCs/>
          <w:color w:val="FF0000"/>
          <w:kern w:val="1"/>
          <w:lang w:val="el-GR"/>
        </w:rPr>
        <w:t xml:space="preserve"> </w:t>
      </w:r>
      <w:r w:rsidRPr="00390D33">
        <w:rPr>
          <w:lang w:val="el-GR"/>
        </w:rPr>
        <w:t xml:space="preserve"> και αναρτήθηκαν στη Διαδικτυακή Πύλη (</w:t>
      </w:r>
      <w:proofErr w:type="spellStart"/>
      <w:r w:rsidRPr="00390D33">
        <w:rPr>
          <w:lang w:val="el-GR"/>
        </w:rPr>
        <w:t>www.promitheus.gov.gr</w:t>
      </w:r>
      <w:proofErr w:type="spellEnd"/>
      <w:r w:rsidRPr="00390D33">
        <w:rPr>
          <w:lang w:val="el-GR"/>
        </w:rPr>
        <w:t>) του ΟΠΣ ΕΣΗΔΗΣ</w:t>
      </w:r>
      <w:r w:rsidR="005A0EC7" w:rsidRPr="00390D33">
        <w:rPr>
          <w:lang w:val="el-GR"/>
        </w:rPr>
        <w:t>.</w:t>
      </w:r>
      <w:r w:rsidR="004D680D">
        <w:rPr>
          <w:lang w:val="el-GR"/>
        </w:rPr>
        <w:t xml:space="preserve"> </w:t>
      </w:r>
    </w:p>
    <w:p w14:paraId="5099A22F" w14:textId="77777777" w:rsidR="003929DA"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rStyle w:val="a4"/>
          <w:rFonts w:cs="Calibri"/>
          <w:szCs w:val="22"/>
        </w:rPr>
        <w:footnoteReference w:id="15"/>
      </w:r>
      <w:r w:rsidR="003929DA">
        <w:rPr>
          <w:lang w:val="el-GR"/>
        </w:rPr>
        <w:t xml:space="preserve"> </w:t>
      </w:r>
      <w:r w:rsidR="003929DA">
        <w:rPr>
          <w:rStyle w:val="a4"/>
          <w:rFonts w:cs="Calibri"/>
          <w:szCs w:val="22"/>
        </w:rPr>
        <w:footnoteReference w:id="16"/>
      </w:r>
      <w:r w:rsidR="003929DA">
        <w:rPr>
          <w:lang w:val="el-GR"/>
        </w:rPr>
        <w:t xml:space="preserve"> </w:t>
      </w:r>
      <w:r w:rsidR="003929DA">
        <w:rPr>
          <w:rStyle w:val="WW-0"/>
          <w:lang w:val="el-GR"/>
        </w:rPr>
        <w:footnoteReference w:id="17"/>
      </w:r>
      <w:r w:rsidR="003929DA">
        <w:rPr>
          <w:lang w:val="el-GR"/>
        </w:rPr>
        <w:t xml:space="preserve">, σύμφωνα με το άρθρο 66 του Ν. 4412/2016 : </w:t>
      </w:r>
    </w:p>
    <w:p w14:paraId="4867FCBA" w14:textId="25354216" w:rsidR="003929DA" w:rsidRDefault="004D680D">
      <w:pPr>
        <w:rPr>
          <w:lang w:val="el-GR"/>
        </w:rPr>
      </w:pPr>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 xml:space="preserve">όπως προβλέπεται στην περίπτωση (ιστ)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0"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hyperlink r:id="rId11" w:history="1"/>
      <w:r w:rsidR="003929DA">
        <w:rPr>
          <w:lang w:val="el-GR" w:eastAsia="el-GR"/>
        </w:rPr>
        <w:t xml:space="preserve"> </w:t>
      </w:r>
    </w:p>
    <w:p w14:paraId="585754D8" w14:textId="73A0617C" w:rsidR="003929DA" w:rsidRDefault="008B18D8" w:rsidP="009704CC">
      <w:pPr>
        <w:spacing w:before="120"/>
        <w:rPr>
          <w:lang w:val="el-GR"/>
        </w:rPr>
      </w:pPr>
      <w:r>
        <w:rPr>
          <w:lang w:val="el-GR"/>
        </w:rPr>
        <w:t>Η Διακήρυξη καταχωρήθηκε</w:t>
      </w:r>
      <w:r w:rsidR="003929DA">
        <w:rPr>
          <w:lang w:val="el-GR"/>
        </w:rPr>
        <w:t xml:space="preserve"> στο διαδίκτυο, στην ιστοσελίδα της αναθέτουσας αρχής, στη διεύθυνση (</w:t>
      </w:r>
      <w:r w:rsidR="003929DA">
        <w:t>URL</w:t>
      </w:r>
      <w:r w:rsidR="003929DA">
        <w:rPr>
          <w:lang w:val="el-GR"/>
        </w:rPr>
        <w:t xml:space="preserve">):   </w:t>
      </w:r>
      <w:r w:rsidR="003929DA">
        <w:t>www</w:t>
      </w:r>
      <w:r w:rsidR="003929DA">
        <w:rPr>
          <w:lang w:val="el-GR"/>
        </w:rPr>
        <w:t>.</w:t>
      </w:r>
      <w:proofErr w:type="spellStart"/>
      <w:r w:rsidR="00AB2549">
        <w:rPr>
          <w:lang w:val="en-US"/>
        </w:rPr>
        <w:t>ithaki</w:t>
      </w:r>
      <w:proofErr w:type="spellEnd"/>
      <w:r w:rsidR="00AB2549" w:rsidRPr="00AB2549">
        <w:rPr>
          <w:lang w:val="el-GR"/>
        </w:rPr>
        <w:t>.</w:t>
      </w:r>
      <w:r w:rsidR="00AB2549">
        <w:rPr>
          <w:lang w:val="en-US"/>
        </w:rPr>
        <w:t>gr</w:t>
      </w:r>
      <w:r w:rsidR="003929DA">
        <w:rPr>
          <w:i/>
          <w:iCs/>
          <w:color w:val="5B9BD5"/>
          <w:kern w:val="1"/>
          <w:lang w:val="el-GR"/>
        </w:rPr>
        <w:t xml:space="preserve"> </w:t>
      </w:r>
    </w:p>
    <w:p w14:paraId="3398C6CB" w14:textId="7547B7CF" w:rsidR="003929DA" w:rsidRDefault="003929DA" w:rsidP="008B18D8">
      <w:pPr>
        <w:spacing w:before="240"/>
        <w:rPr>
          <w:i/>
          <w:iCs/>
          <w:color w:val="5B9BD5"/>
          <w:kern w:val="1"/>
          <w:lang w:val="el-GR"/>
        </w:rPr>
      </w:pPr>
      <w:r>
        <w:rPr>
          <w:b/>
          <w:lang w:val="el-GR" w:eastAsia="el-GR"/>
        </w:rPr>
        <w:tab/>
        <w:t>Έξοδα δημοσιεύσεων</w:t>
      </w:r>
    </w:p>
    <w:p w14:paraId="6FFE132B" w14:textId="3A616A03" w:rsidR="00710C1D" w:rsidRPr="009E23A8" w:rsidRDefault="00710C1D">
      <w:pPr>
        <w:rPr>
          <w:lang w:val="el-GR"/>
        </w:rPr>
      </w:pPr>
      <w:r w:rsidRPr="009E23A8">
        <w:rPr>
          <w:lang w:val="el-GR"/>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9E23A8">
        <w:rPr>
          <w:rStyle w:val="a4"/>
          <w:rFonts w:eastAsia="ArialMT" w:cs="Calibri"/>
          <w:szCs w:val="22"/>
        </w:rPr>
        <w:footnoteReference w:id="18"/>
      </w:r>
    </w:p>
    <w:p w14:paraId="7AFDBF50" w14:textId="77777777" w:rsidR="003929DA" w:rsidRDefault="003929DA">
      <w:pPr>
        <w:pStyle w:val="2"/>
        <w:rPr>
          <w:lang w:val="el-GR"/>
        </w:rPr>
      </w:pPr>
      <w:bookmarkStart w:id="8" w:name="_Toc129004399"/>
      <w:r>
        <w:rPr>
          <w:lang w:val="el-GR"/>
        </w:rPr>
        <w:t>1.7</w:t>
      </w:r>
      <w:r>
        <w:rPr>
          <w:lang w:val="el-GR"/>
        </w:rPr>
        <w:tab/>
        <w:t>Αρχές εφαρμοζόμενες στη διαδικασία σύναψης</w:t>
      </w:r>
      <w:bookmarkEnd w:id="8"/>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19"/>
      </w:r>
      <w:r>
        <w:rPr>
          <w:lang w:val="el-GR"/>
        </w:rPr>
        <w:t xml:space="preserve"> </w:t>
      </w:r>
    </w:p>
    <w:p w14:paraId="1C8AC0D3" w14:textId="74BD09CC" w:rsidR="003929DA" w:rsidRDefault="003929DA">
      <w:pPr>
        <w:rPr>
          <w:lang w:val="el-GR"/>
        </w:rPr>
      </w:pPr>
      <w:r w:rsidRPr="002510A3">
        <w:rPr>
          <w:lang w:val="el-GR"/>
        </w:rPr>
        <w:t xml:space="preserve">β) δεν θα ενεργήσουν αθέμιτα, παράνομα ή καταχρηστικά </w:t>
      </w:r>
      <w:proofErr w:type="spellStart"/>
      <w:r w:rsidRPr="002510A3">
        <w:rPr>
          <w:lang w:val="el-GR"/>
        </w:rPr>
        <w:t>καθ΄</w:t>
      </w:r>
      <w:proofErr w:type="spellEnd"/>
      <w:r w:rsidRPr="002510A3">
        <w:rPr>
          <w:lang w:val="el-GR"/>
        </w:rPr>
        <w:t xml:space="preserve"> όλη τη διάρκεια της διαδικασίας ανάθεσης, αλλά και κατά το στάδιο εκτέλεσης της σύμβασης, εφόσον </w:t>
      </w:r>
      <w:proofErr w:type="spellStart"/>
      <w:r w:rsidRPr="002510A3">
        <w:rPr>
          <w:lang w:val="el-GR"/>
        </w:rPr>
        <w:t>επιλεγούν</w:t>
      </w:r>
      <w:r w:rsidR="002510A3">
        <w:rPr>
          <w:lang w:val="el-GR"/>
        </w:rPr>
        <w:t>,</w:t>
      </w:r>
      <w:r w:rsidRPr="002510A3">
        <w:rPr>
          <w:lang w:val="el-GR"/>
        </w:rPr>
        <w:t>γ</w:t>
      </w:r>
      <w:proofErr w:type="spellEnd"/>
      <w:r w:rsidRPr="002510A3">
        <w:rPr>
          <w:lang w:val="el-GR"/>
        </w:rPr>
        <w:t>) λαμβάνουν τα κατάλληλα μέτρα για να διαφυλάξουν την εμπιστευτικότητα των πληροφοριών που έχουν χαρακτηρισθεί ως τέτοιες.</w:t>
      </w:r>
    </w:p>
    <w:p w14:paraId="1214102F" w14:textId="77777777" w:rsidR="003929DA" w:rsidRDefault="003929DA">
      <w:pPr>
        <w:pStyle w:val="1"/>
        <w:tabs>
          <w:tab w:val="left" w:pos="567"/>
        </w:tabs>
        <w:ind w:left="567" w:hanging="567"/>
        <w:rPr>
          <w:lang w:val="el-GR"/>
        </w:rPr>
      </w:pPr>
      <w:bookmarkStart w:id="9" w:name="_Toc129004400"/>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14:paraId="26BD9106" w14:textId="77777777" w:rsidR="003929DA" w:rsidRDefault="003929DA">
      <w:pPr>
        <w:pStyle w:val="2"/>
        <w:rPr>
          <w:lang w:val="el-GR"/>
        </w:rPr>
      </w:pPr>
      <w:bookmarkStart w:id="10" w:name="_Toc129004401"/>
      <w:r>
        <w:rPr>
          <w:lang w:val="el-GR"/>
        </w:rPr>
        <w:t>2.1</w:t>
      </w:r>
      <w:r>
        <w:rPr>
          <w:lang w:val="el-GR"/>
        </w:rPr>
        <w:tab/>
        <w:t>Γενικές Πληροφορίες</w:t>
      </w:r>
      <w:bookmarkEnd w:id="10"/>
    </w:p>
    <w:p w14:paraId="517164A0" w14:textId="77777777" w:rsidR="003929DA" w:rsidRPr="0076749E" w:rsidRDefault="003929DA">
      <w:pPr>
        <w:pStyle w:val="3"/>
        <w:rPr>
          <w:lang w:val="el-GR"/>
        </w:rPr>
      </w:pPr>
      <w:bookmarkStart w:id="11" w:name="_Toc129004402"/>
      <w:r w:rsidRPr="0076749E">
        <w:rPr>
          <w:lang w:val="el-GR"/>
        </w:rPr>
        <w:t>2.1.1</w:t>
      </w:r>
      <w:r w:rsidRPr="0076749E">
        <w:rPr>
          <w:lang w:val="el-GR"/>
        </w:rPr>
        <w:tab/>
        <w:t>Έγγραφα της σύμβασης</w:t>
      </w:r>
      <w:bookmarkEnd w:id="11"/>
    </w:p>
    <w:p w14:paraId="062E38FA"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20"/>
      </w:r>
      <w:r w:rsidRPr="00CC76C4">
        <w:rPr>
          <w:lang w:val="el-GR"/>
        </w:rPr>
        <w:t xml:space="preserve">  είναι τα ακόλουθα:</w:t>
      </w:r>
    </w:p>
    <w:p w14:paraId="364C830C" w14:textId="0B68F9CD" w:rsidR="00B63FC9" w:rsidRPr="00CC76C4" w:rsidRDefault="003929DA" w:rsidP="00CC76C4">
      <w:pPr>
        <w:numPr>
          <w:ilvl w:val="0"/>
          <w:numId w:val="16"/>
        </w:numPr>
        <w:spacing w:after="40"/>
        <w:ind w:left="567" w:hanging="425"/>
        <w:rPr>
          <w:lang w:val="el-GR"/>
        </w:rPr>
      </w:pPr>
      <w:r w:rsidRPr="00CC76C4">
        <w:rPr>
          <w:lang w:val="el-GR"/>
        </w:rPr>
        <w:t>η με αρ. ………. Προκαταρκτική Προκήρυξη</w:t>
      </w:r>
      <w:r w:rsidRPr="00CC76C4">
        <w:rPr>
          <w:color w:val="5B9BD5"/>
          <w:kern w:val="1"/>
          <w:lang w:val="el-GR"/>
        </w:rPr>
        <w:t xml:space="preserve"> </w:t>
      </w:r>
    </w:p>
    <w:p w14:paraId="758D1973"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116491D" w14:textId="77777777"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0EFFAC96" w14:textId="77777777"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31A1B347" w14:textId="77777777" w:rsidR="003929DA" w:rsidRDefault="003929DA" w:rsidP="00CC76C4">
      <w:pPr>
        <w:pStyle w:val="3"/>
        <w:rPr>
          <w:lang w:val="el-GR"/>
        </w:rPr>
      </w:pPr>
      <w:bookmarkStart w:id="12" w:name="_Toc129004403"/>
      <w:r>
        <w:rPr>
          <w:lang w:val="el-GR"/>
        </w:rPr>
        <w:t>2.1.2</w:t>
      </w:r>
      <w:r>
        <w:rPr>
          <w:lang w:val="el-GR"/>
        </w:rPr>
        <w:tab/>
        <w:t>Επικοινωνία - Πρόσβαση στα έγγραφα της Σύμβασης</w:t>
      </w:r>
      <w:bookmarkEnd w:id="12"/>
    </w:p>
    <w:p w14:paraId="414AF023" w14:textId="2006E8F3" w:rsidR="00040BAB" w:rsidRDefault="003929DA" w:rsidP="00040BAB">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proofErr w:type="spellStart"/>
      <w:r>
        <w:rPr>
          <w:lang w:val="el-GR"/>
        </w:rPr>
        <w:t>www.promitheus.gov.gr</w:t>
      </w:r>
      <w:proofErr w:type="spellEnd"/>
      <w:r w:rsidR="00352042">
        <w:rPr>
          <w:lang w:val="el-GR"/>
        </w:rPr>
        <w:t>)</w:t>
      </w:r>
      <w:r>
        <w:rPr>
          <w:rStyle w:val="WW-FootnoteReference7"/>
          <w:lang w:val="el-GR"/>
        </w:rPr>
        <w:footnoteReference w:id="21"/>
      </w:r>
    </w:p>
    <w:p w14:paraId="6381D042" w14:textId="2BD32718" w:rsidR="00AB2549" w:rsidRPr="00AB2549" w:rsidRDefault="00AB2549" w:rsidP="00040BAB">
      <w:pPr>
        <w:rPr>
          <w:i/>
          <w:color w:val="5B9BD5"/>
          <w:lang w:val="el-GR"/>
        </w:rPr>
      </w:pPr>
      <w:r>
        <w:rPr>
          <w:lang w:val="el-GR"/>
        </w:rPr>
        <w:t>Η αρ.37/2023 μελέτη και τα στοιχεία της σύμβασης διατίθενται στα γραφεία της αναθέτουσας αρχής κατά τις εργάσιμες ημέρες και ώρες.</w:t>
      </w:r>
    </w:p>
    <w:p w14:paraId="76C49F96" w14:textId="77777777" w:rsidR="003929DA" w:rsidRDefault="003929DA">
      <w:pPr>
        <w:pStyle w:val="3"/>
        <w:rPr>
          <w:lang w:val="el-GR"/>
        </w:rPr>
      </w:pPr>
      <w:bookmarkStart w:id="13" w:name="_Toc129004404"/>
      <w:r>
        <w:rPr>
          <w:lang w:val="el-GR"/>
        </w:rPr>
        <w:t>2.1.3</w:t>
      </w:r>
      <w:r>
        <w:rPr>
          <w:lang w:val="el-GR"/>
        </w:rPr>
        <w:tab/>
        <w:t>Παροχή Διευκρινίσεων</w:t>
      </w:r>
      <w:bookmarkEnd w:id="13"/>
    </w:p>
    <w:p w14:paraId="702B3FA4" w14:textId="63D29555"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w:t>
      </w:r>
      <w:r w:rsidR="00FD223B" w:rsidRPr="00FD223B">
        <w:rPr>
          <w:rFonts w:ascii="Calibri" w:eastAsia="Times New Roman" w:hAnsi="Calibri" w:cs="Calibri"/>
          <w:kern w:val="0"/>
          <w:sz w:val="22"/>
          <w:lang w:eastAsia="ar-SA" w:bidi="ar-SA"/>
        </w:rPr>
        <w:t xml:space="preserve">το αργότερο έως </w:t>
      </w:r>
      <w:r w:rsidR="00FD223B">
        <w:rPr>
          <w:rFonts w:ascii="Calibri" w:eastAsia="Times New Roman" w:hAnsi="Calibri" w:cs="Calibri"/>
          <w:kern w:val="0"/>
          <w:sz w:val="22"/>
          <w:lang w:eastAsia="ar-SA" w:bidi="ar-SA"/>
        </w:rPr>
        <w:t>…</w:t>
      </w:r>
      <w:r w:rsidR="00FD223B" w:rsidRPr="00FD223B">
        <w:rPr>
          <w:rFonts w:ascii="Calibri" w:eastAsia="Times New Roman" w:hAnsi="Calibri" w:cs="Calibri"/>
          <w:kern w:val="0"/>
          <w:sz w:val="22"/>
          <w:lang w:eastAsia="ar-SA" w:bidi="ar-SA"/>
        </w:rPr>
        <w:t>/</w:t>
      </w:r>
      <w:r w:rsidR="00FD223B">
        <w:rPr>
          <w:rFonts w:ascii="Calibri" w:eastAsia="Times New Roman" w:hAnsi="Calibri" w:cs="Calibri"/>
          <w:kern w:val="0"/>
          <w:sz w:val="22"/>
          <w:lang w:eastAsia="ar-SA" w:bidi="ar-SA"/>
        </w:rPr>
        <w:t>…</w:t>
      </w:r>
      <w:r w:rsidR="00FD223B" w:rsidRPr="00FD223B">
        <w:rPr>
          <w:rFonts w:ascii="Calibri" w:eastAsia="Times New Roman" w:hAnsi="Calibri" w:cs="Calibri"/>
          <w:kern w:val="0"/>
          <w:sz w:val="22"/>
          <w:lang w:eastAsia="ar-SA" w:bidi="ar-SA"/>
        </w:rPr>
        <w:t xml:space="preserve">/2023 και ώρα 24.00 και απαντώνται έως </w:t>
      </w:r>
      <w:r w:rsidR="00FD223B">
        <w:rPr>
          <w:rFonts w:ascii="Calibri" w:eastAsia="Times New Roman" w:hAnsi="Calibri" w:cs="Calibri"/>
          <w:kern w:val="0"/>
          <w:sz w:val="22"/>
          <w:lang w:eastAsia="ar-SA" w:bidi="ar-SA"/>
        </w:rPr>
        <w:t>…</w:t>
      </w:r>
      <w:r w:rsidR="00FD223B" w:rsidRPr="00FD223B">
        <w:rPr>
          <w:rFonts w:ascii="Calibri" w:eastAsia="Times New Roman" w:hAnsi="Calibri" w:cs="Calibri"/>
          <w:kern w:val="0"/>
          <w:sz w:val="22"/>
          <w:lang w:eastAsia="ar-SA" w:bidi="ar-SA"/>
        </w:rPr>
        <w:t>/</w:t>
      </w:r>
      <w:r w:rsidR="00FD223B">
        <w:rPr>
          <w:rFonts w:ascii="Calibri" w:eastAsia="Times New Roman" w:hAnsi="Calibri" w:cs="Calibri"/>
          <w:kern w:val="0"/>
          <w:sz w:val="22"/>
          <w:lang w:eastAsia="ar-SA" w:bidi="ar-SA"/>
        </w:rPr>
        <w:t>…</w:t>
      </w:r>
      <w:r w:rsidR="00FD223B" w:rsidRPr="00FD223B">
        <w:rPr>
          <w:rFonts w:ascii="Calibri" w:eastAsia="Times New Roman" w:hAnsi="Calibri" w:cs="Calibri"/>
          <w:kern w:val="0"/>
          <w:sz w:val="22"/>
          <w:lang w:eastAsia="ar-SA" w:bidi="ar-SA"/>
        </w:rPr>
        <w:t>/2023 και ώρα 24.00,</w:t>
      </w:r>
      <w:r w:rsidRPr="005A0EC7">
        <w:rPr>
          <w:rFonts w:ascii="Calibri" w:eastAsia="Times New Roman" w:hAnsi="Calibri" w:cs="Calibri"/>
          <w:kern w:val="0"/>
          <w:sz w:val="22"/>
          <w:lang w:eastAsia="ar-SA" w:bidi="ar-SA"/>
        </w:rPr>
        <w:t xml:space="preserve">,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2"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5D816931" w14:textId="77777777" w:rsidR="003929DA" w:rsidRDefault="003929DA">
      <w:pPr>
        <w:rPr>
          <w:lang w:val="el-GR"/>
        </w:rPr>
      </w:pPr>
      <w:r>
        <w:rPr>
          <w:lang w:val="el-GR"/>
        </w:rPr>
        <w:lastRenderedPageBreak/>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22"/>
      </w:r>
      <w:r>
        <w:rPr>
          <w:lang w:val="el-GR"/>
        </w:rPr>
        <w:t>:</w:t>
      </w:r>
    </w:p>
    <w:p w14:paraId="48AD6088" w14:textId="77777777"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77777777"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7E4C88" w:rsidRPr="002510A3">
        <w:rPr>
          <w:rStyle w:val="ad"/>
          <w:lang w:val="el-GR"/>
        </w:rPr>
        <w:footnoteReference w:id="23"/>
      </w:r>
      <w:r w:rsidR="001E6F85" w:rsidRPr="002510A3">
        <w:rPr>
          <w:lang w:val="el-GR"/>
        </w:rPr>
        <w:t>.</w:t>
      </w:r>
      <w:r w:rsidRPr="00FE71B4">
        <w:rPr>
          <w:lang w:val="el-GR"/>
        </w:rPr>
        <w:t xml:space="preserve"> </w:t>
      </w:r>
    </w:p>
    <w:p w14:paraId="450FB285" w14:textId="77777777" w:rsidR="003929DA" w:rsidRDefault="003929DA">
      <w:pPr>
        <w:pStyle w:val="3"/>
        <w:rPr>
          <w:lang w:val="el-GR"/>
        </w:rPr>
      </w:pPr>
      <w:bookmarkStart w:id="14" w:name="_Toc129004405"/>
      <w:r>
        <w:rPr>
          <w:lang w:val="el-GR"/>
        </w:rPr>
        <w:t>2.1.4</w:t>
      </w:r>
      <w:r>
        <w:rPr>
          <w:lang w:val="el-GR"/>
        </w:rPr>
        <w:tab/>
        <w:t>Γλώσσα</w:t>
      </w:r>
      <w:bookmarkEnd w:id="14"/>
    </w:p>
    <w:p w14:paraId="0640789A" w14:textId="485630AB" w:rsidR="003929DA" w:rsidRDefault="003929DA">
      <w:pPr>
        <w:rPr>
          <w:lang w:val="el-GR"/>
        </w:rPr>
      </w:pPr>
      <w:r>
        <w:rPr>
          <w:lang w:val="el-GR"/>
        </w:rPr>
        <w:t>Τα έγγραφα της σύμβασης έχουν</w:t>
      </w:r>
      <w:r w:rsidR="00040BAB">
        <w:rPr>
          <w:lang w:val="el-GR"/>
        </w:rPr>
        <w:t xml:space="preserve"> συνταχθεί στην ελληνική γλώσσα.</w:t>
      </w:r>
      <w:r>
        <w:rPr>
          <w:i/>
          <w:iCs/>
          <w:color w:val="5B9BD5"/>
          <w:lang w:val="el-GR"/>
        </w:rPr>
        <w:t xml:space="preserve"> </w:t>
      </w:r>
      <w:r>
        <w:rPr>
          <w:lang w:val="el-GR"/>
        </w:rPr>
        <w:t>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24"/>
      </w:r>
    </w:p>
    <w:p w14:paraId="725F6F14"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523548E0"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413AB8">
        <w:rPr>
          <w:rStyle w:val="ad"/>
          <w:color w:val="000000"/>
          <w:lang w:val="el-GR"/>
        </w:rPr>
        <w:footnoteReference w:id="25"/>
      </w:r>
      <w:r w:rsidR="0074788C">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04B8809B" w14:textId="77777777" w:rsidR="0053524B"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352A72E1"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FootnoteReference2"/>
          <w:color w:val="000000"/>
          <w:lang w:val="el-GR"/>
        </w:rPr>
        <w:footnoteReference w:id="26"/>
      </w:r>
      <w:r>
        <w:rPr>
          <w:rStyle w:val="FootnoteReference2"/>
          <w:color w:val="000000"/>
          <w:lang w:val="el-GR"/>
        </w:rPr>
        <w:t xml:space="preserve">. </w:t>
      </w:r>
    </w:p>
    <w:p w14:paraId="7AABE7E1" w14:textId="1216E64A" w:rsidR="00700DD6" w:rsidRPr="00216ECA" w:rsidRDefault="00700DD6" w:rsidP="00700DD6">
      <w:pPr>
        <w:rPr>
          <w:i/>
          <w:iCs/>
          <w:color w:val="5B9BD5"/>
          <w:lang w:val="el-GR"/>
        </w:rPr>
      </w:pPr>
      <w:r w:rsidRPr="00581874">
        <w:rPr>
          <w:color w:val="000000"/>
          <w:lang w:val="el-GR"/>
        </w:rPr>
        <w:t>Κατά παρέκκλιση των ως άνω παρ</w:t>
      </w:r>
      <w:r w:rsidR="00817D5B">
        <w:rPr>
          <w:color w:val="000000"/>
          <w:lang w:val="el-GR"/>
        </w:rPr>
        <w:t>αγράφων</w:t>
      </w:r>
      <w:r w:rsidRPr="00581874">
        <w:rPr>
          <w:color w:val="000000"/>
          <w:lang w:val="el-GR"/>
        </w:rPr>
        <w:t>, γίνεται δεκτή η υποβολή ενός ή περισσότερων στοιχείων των προσφορών</w:t>
      </w:r>
      <w:r w:rsidR="00817D5B">
        <w:rPr>
          <w:color w:val="000000"/>
          <w:lang w:val="el-GR"/>
        </w:rPr>
        <w:t xml:space="preserve"> και</w:t>
      </w:r>
      <w:r w:rsidRPr="00581874">
        <w:rPr>
          <w:color w:val="000000"/>
          <w:lang w:val="el-GR"/>
        </w:rPr>
        <w:t xml:space="preserve"> των δικαιολογητικών κατακύρωσης, στην </w:t>
      </w:r>
      <w:r w:rsidR="0053524B">
        <w:rPr>
          <w:color w:val="000000"/>
          <w:lang w:val="el-GR"/>
        </w:rPr>
        <w:t>αγγλική</w:t>
      </w:r>
      <w:r w:rsidR="006A601E">
        <w:rPr>
          <w:color w:val="000000"/>
          <w:lang w:val="el-GR"/>
        </w:rPr>
        <w:t xml:space="preserve"> </w:t>
      </w:r>
      <w:r w:rsidRPr="00581874">
        <w:rPr>
          <w:color w:val="000000"/>
          <w:lang w:val="el-GR"/>
        </w:rPr>
        <w:t xml:space="preserve">γλώσσα  χωρίς να απαιτείται επικύρωσή τους, στο μέτρο που τα ανωτέρω έγγραφα είναι καταχωρισμένα σε επίσημους </w:t>
      </w:r>
      <w:proofErr w:type="spellStart"/>
      <w:r w:rsidRPr="00581874">
        <w:rPr>
          <w:color w:val="000000"/>
          <w:lang w:val="el-GR"/>
        </w:rPr>
        <w:t>ιστότοπους</w:t>
      </w:r>
      <w:proofErr w:type="spellEnd"/>
      <w:r w:rsidRPr="00581874">
        <w:rPr>
          <w:color w:val="000000"/>
          <w:lang w:val="el-GR"/>
        </w:rPr>
        <w:t xml:space="preserve"> φορέων πιστοποίησης, στους οποίους υπάρχει ελεύθερη πρόσβαση μέσω διαδικτύου και εφόσον ο οικονομικός </w:t>
      </w:r>
      <w:r w:rsidRPr="00581874">
        <w:rPr>
          <w:color w:val="000000"/>
          <w:lang w:val="el-GR"/>
        </w:rPr>
        <w:lastRenderedPageBreak/>
        <w:t>φορέας παραπέμπει σε αυτούς, προκειμένου η επαλήθευση της ισχύος τους να είναι ευχερής για την αναθέτουσα αρχή</w:t>
      </w:r>
      <w:r>
        <w:rPr>
          <w:rStyle w:val="ad"/>
          <w:rFonts w:ascii="Cambria" w:hAnsi="Cambria" w:cs="Cambria"/>
          <w:szCs w:val="22"/>
          <w:lang w:val="el-GR" w:eastAsia="zh-CN"/>
        </w:rPr>
        <w:footnoteReference w:id="27"/>
      </w:r>
      <w:r w:rsidRPr="00700DD6">
        <w:rPr>
          <w:rFonts w:ascii="Cambria" w:hAnsi="Cambria" w:cs="Cambria"/>
          <w:szCs w:val="22"/>
          <w:lang w:val="el-GR" w:eastAsia="zh-CN"/>
        </w:rPr>
        <w:t xml:space="preserve">  </w:t>
      </w:r>
    </w:p>
    <w:p w14:paraId="2FEB8BB7"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8"/>
      </w:r>
      <w:r>
        <w:rPr>
          <w:color w:val="000000"/>
          <w:lang w:val="el-GR"/>
        </w:rPr>
        <w:t>.</w:t>
      </w:r>
    </w:p>
    <w:p w14:paraId="7A5BB163" w14:textId="77777777" w:rsidR="003929DA" w:rsidRDefault="003929DA">
      <w:pPr>
        <w:pStyle w:val="3"/>
        <w:rPr>
          <w:color w:val="000000"/>
          <w:lang w:val="el-GR"/>
        </w:rPr>
      </w:pPr>
      <w:bookmarkStart w:id="15" w:name="_Toc129004406"/>
      <w:r>
        <w:rPr>
          <w:lang w:val="el-GR"/>
        </w:rPr>
        <w:t>2.1.5</w:t>
      </w:r>
      <w:r>
        <w:rPr>
          <w:lang w:val="el-GR"/>
        </w:rPr>
        <w:tab/>
        <w:t>Εγγυήσεις</w:t>
      </w:r>
      <w:r>
        <w:rPr>
          <w:rStyle w:val="WW-FootnoteReference12"/>
          <w:color w:val="000000"/>
          <w:lang w:val="el-GR"/>
        </w:rPr>
        <w:footnoteReference w:id="29"/>
      </w:r>
      <w:bookmarkEnd w:id="15"/>
    </w:p>
    <w:p w14:paraId="2AB10EDD" w14:textId="18566A12" w:rsidR="003929DA" w:rsidRDefault="003929DA">
      <w:pPr>
        <w:rPr>
          <w:color w:val="000000"/>
          <w:lang w:val="el-GR"/>
        </w:rPr>
      </w:pPr>
      <w:r>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lang w:val="el-GR"/>
        </w:rPr>
        <w:t>β΄</w:t>
      </w:r>
      <w:proofErr w:type="spellEnd"/>
      <w:r>
        <w:rPr>
          <w:color w:val="000000"/>
          <w:lang w:val="el-GR"/>
        </w:rPr>
        <w:t xml:space="preserve"> και </w:t>
      </w:r>
      <w:proofErr w:type="spellStart"/>
      <w:r>
        <w:rPr>
          <w:color w:val="000000"/>
          <w:lang w:val="el-GR"/>
        </w:rPr>
        <w:t>γ΄</w:t>
      </w:r>
      <w:proofErr w:type="spellEnd"/>
      <w:r>
        <w:rPr>
          <w:color w:val="000000"/>
          <w:lang w:val="el-GR"/>
        </w:rPr>
        <w:t xml:space="preserve"> της παρ. 1 του άρθρου 14 του ν. 4364/ 2016 (Α΄13)</w:t>
      </w:r>
      <w:r>
        <w:rPr>
          <w:rStyle w:val="WW-0"/>
          <w:color w:val="000000"/>
          <w:lang w:val="el-GR"/>
        </w:rPr>
        <w:footnoteReference w:id="30"/>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Pr>
          <w:rStyle w:val="ad"/>
          <w:color w:val="000000"/>
          <w:lang w:val="el-GR"/>
        </w:rPr>
        <w:footnoteReference w:id="31"/>
      </w:r>
      <w:r>
        <w:rPr>
          <w:color w:val="000000"/>
          <w:lang w:val="el-GR"/>
        </w:rPr>
        <w:t>.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1E5F9C9D"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F46CE2">
        <w:rPr>
          <w:rStyle w:val="ad"/>
          <w:color w:val="000000"/>
          <w:lang w:val="el-GR"/>
        </w:rPr>
        <w:footnoteReference w:id="32"/>
      </w:r>
      <w:r>
        <w:rPr>
          <w:color w:val="000000"/>
          <w:lang w:val="el-GR"/>
        </w:rPr>
        <w:t xml:space="preserve">. </w:t>
      </w:r>
    </w:p>
    <w:p w14:paraId="11C49C7E" w14:textId="77777777" w:rsidR="003929DA" w:rsidRPr="00266D9E" w:rsidRDefault="003929DA">
      <w:pPr>
        <w:rPr>
          <w:color w:val="000000"/>
          <w:lang w:val="el-GR"/>
        </w:rPr>
      </w:pPr>
      <w:r w:rsidRPr="00C823DC">
        <w:rPr>
          <w:color w:val="000000"/>
          <w:lang w:val="el-GR"/>
        </w:rPr>
        <w:t xml:space="preserve">Η </w:t>
      </w:r>
      <w:proofErr w:type="spellStart"/>
      <w:r w:rsidRPr="00C823DC">
        <w:rPr>
          <w:color w:val="000000"/>
          <w:lang w:val="el-GR"/>
        </w:rPr>
        <w:t>περ</w:t>
      </w:r>
      <w:proofErr w:type="spellEnd"/>
      <w:r w:rsidRPr="00C823DC">
        <w:rPr>
          <w:color w:val="000000"/>
          <w:lang w:val="el-GR"/>
        </w:rPr>
        <w:t xml:space="preserve">. αα’ του προηγούμενου εδαφίου </w:t>
      </w:r>
      <w:proofErr w:type="spellStart"/>
      <w:r w:rsidR="00413AB8" w:rsidRPr="00C823DC">
        <w:rPr>
          <w:color w:val="000000"/>
          <w:lang w:val="el-GR"/>
        </w:rPr>
        <w:t>ζ΄</w:t>
      </w:r>
      <w:proofErr w:type="spellEnd"/>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729240A" w14:textId="4B5AD120" w:rsidR="003929DA" w:rsidRPr="0053524B" w:rsidRDefault="003929DA" w:rsidP="00CC76C4">
      <w:pPr>
        <w:spacing w:after="0"/>
        <w:rPr>
          <w:color w:val="000000"/>
          <w:lang w:val="el-GR"/>
        </w:rPr>
      </w:pPr>
      <w:r w:rsidRPr="0053524B">
        <w:rPr>
          <w:color w:val="000000"/>
          <w:lang w:val="el-GR"/>
        </w:rPr>
        <w:t>Η αναθέτουσα αρχή επικοινωνεί με τους εκδότες των εγγυητικών επιστολών</w:t>
      </w:r>
      <w:r w:rsidR="000C5B34" w:rsidRPr="0053524B">
        <w:rPr>
          <w:color w:val="000000"/>
          <w:lang w:val="el-GR"/>
        </w:rPr>
        <w:t>,</w:t>
      </w:r>
      <w:r w:rsidRPr="0053524B">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16" w:name="_Toc129004407"/>
      <w:r w:rsidRPr="00CC76C4">
        <w:rPr>
          <w:lang w:val="el-GR"/>
        </w:rPr>
        <w:t>2.1.6</w:t>
      </w:r>
      <w:r w:rsidR="00B03F31">
        <w:rPr>
          <w:lang w:val="el-GR"/>
        </w:rPr>
        <w:tab/>
      </w:r>
      <w:r w:rsidRPr="00CC76C4">
        <w:rPr>
          <w:lang w:val="el-GR"/>
        </w:rPr>
        <w:t>Προστασία Προσωπικών Δεδομένων</w:t>
      </w:r>
      <w:bookmarkEnd w:id="16"/>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w:t>
      </w:r>
      <w:r w:rsidRPr="00CC76C4">
        <w:rPr>
          <w:color w:val="000000"/>
          <w:lang w:val="el-GR"/>
        </w:rPr>
        <w:lastRenderedPageBreak/>
        <w:t>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17" w:name="_Toc129004408"/>
      <w:r>
        <w:rPr>
          <w:lang w:val="el-GR"/>
        </w:rPr>
        <w:t>2.2</w:t>
      </w:r>
      <w:r>
        <w:rPr>
          <w:lang w:val="el-GR"/>
        </w:rPr>
        <w:tab/>
        <w:t>Δικαίωμα Συμμετοχής - Κριτήρια Ποιοτικής Επιλογής</w:t>
      </w:r>
      <w:bookmarkEnd w:id="17"/>
    </w:p>
    <w:p w14:paraId="7A7AE3BE" w14:textId="77777777" w:rsidR="003929DA" w:rsidRDefault="003929DA">
      <w:pPr>
        <w:pStyle w:val="3"/>
        <w:rPr>
          <w:lang w:val="el-GR"/>
        </w:rPr>
      </w:pPr>
      <w:bookmarkStart w:id="18" w:name="_Toc129004409"/>
      <w:r>
        <w:rPr>
          <w:lang w:val="el-GR"/>
        </w:rPr>
        <w:t>2.2.1</w:t>
      </w:r>
      <w:r>
        <w:rPr>
          <w:lang w:val="el-GR"/>
        </w:rPr>
        <w:tab/>
        <w:t>Δικαίωμα συμμετοχής</w:t>
      </w:r>
      <w:bookmarkEnd w:id="18"/>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70E89470" w:rsidR="003929DA" w:rsidRDefault="003929DA">
      <w:pPr>
        <w:rPr>
          <w:lang w:val="el-GR"/>
        </w:rPr>
      </w:pPr>
      <w:r>
        <w:rPr>
          <w:lang w:val="el-GR"/>
        </w:rPr>
        <w:t>γ) τρίτες χώρες που έχουν υπογράψει και κυρώσει τη ΣΔΣ</w:t>
      </w:r>
      <w:r w:rsidR="00626CCA">
        <w:rPr>
          <w:rStyle w:val="ad"/>
          <w:lang w:val="el-GR"/>
        </w:rPr>
        <w:footnoteReference w:id="33"/>
      </w:r>
      <w:r>
        <w:rPr>
          <w:lang w:val="el-GR"/>
        </w:rPr>
        <w:t>,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34"/>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77777777" w:rsidR="003929DA" w:rsidRDefault="003929DA">
      <w:pPr>
        <w:rPr>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35"/>
      </w:r>
      <w:r>
        <w:rPr>
          <w:lang w:val="el-GR"/>
        </w:rPr>
        <w:t>.</w:t>
      </w:r>
    </w:p>
    <w:p w14:paraId="1F5F38DA" w14:textId="55892A02"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36"/>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3D7E1BBD"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6B4E4A" w:rsidRPr="00680FA7">
        <w:rPr>
          <w:vertAlign w:val="superscript"/>
        </w:rPr>
        <w:footnoteReference w:id="37"/>
      </w:r>
      <w:r w:rsidRPr="00680FA7">
        <w:rPr>
          <w:vertAlign w:val="superscript"/>
          <w:lang w:val="el-GR"/>
        </w:rPr>
        <w:t>.</w:t>
      </w:r>
      <w:r w:rsidRPr="009C1E20">
        <w:rPr>
          <w:lang w:val="el-GR"/>
        </w:rPr>
        <w:t xml:space="preserve"> </w:t>
      </w:r>
      <w:r>
        <w:rPr>
          <w:lang w:val="el-GR"/>
        </w:rPr>
        <w:t xml:space="preserve"> </w:t>
      </w:r>
    </w:p>
    <w:p w14:paraId="77CD03A7" w14:textId="77777777" w:rsidR="003929DA" w:rsidRDefault="003929DA">
      <w:pPr>
        <w:pStyle w:val="3"/>
        <w:rPr>
          <w:lang w:val="el-GR"/>
        </w:rPr>
      </w:pPr>
      <w:bookmarkStart w:id="19" w:name="_Toc129004410"/>
      <w:r>
        <w:rPr>
          <w:lang w:val="el-GR"/>
        </w:rPr>
        <w:t>2.2.2</w:t>
      </w:r>
      <w:r>
        <w:rPr>
          <w:lang w:val="el-GR"/>
        </w:rPr>
        <w:tab/>
        <w:t>Εγγύηση συμμετοχής</w:t>
      </w:r>
      <w:r>
        <w:rPr>
          <w:rStyle w:val="WW-FootnoteReference2"/>
          <w:lang w:val="el-GR"/>
        </w:rPr>
        <w:footnoteReference w:id="38"/>
      </w:r>
      <w:bookmarkEnd w:id="19"/>
    </w:p>
    <w:p w14:paraId="0F1213C2" w14:textId="1776E35D" w:rsidR="003929DA" w:rsidRDefault="003929DA">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221E0B">
        <w:rPr>
          <w:b/>
          <w:lang w:val="el-GR"/>
        </w:rPr>
        <w:t>εγγυητική επιστολή συμμετοχής</w:t>
      </w:r>
      <w:r w:rsidRPr="00221E0B">
        <w:rPr>
          <w:rStyle w:val="FootnoteReference2"/>
          <w:b/>
          <w:szCs w:val="22"/>
        </w:rPr>
        <w:footnoteReference w:id="39"/>
      </w:r>
      <w:r w:rsidRPr="00221E0B">
        <w:rPr>
          <w:b/>
          <w:lang w:val="el-GR"/>
        </w:rPr>
        <w:t xml:space="preserve">, ποσού  </w:t>
      </w:r>
      <w:r w:rsidR="00221E0B" w:rsidRPr="00221E0B">
        <w:rPr>
          <w:b/>
          <w:lang w:val="el-GR"/>
        </w:rPr>
        <w:t>εννιακοσίων εξήντα οκτώ (968,00)</w:t>
      </w:r>
      <w:r w:rsidRPr="00221E0B">
        <w:rPr>
          <w:b/>
          <w:lang w:val="el-GR"/>
        </w:rPr>
        <w:t xml:space="preserve"> ευρώ</w:t>
      </w:r>
      <w:r>
        <w:rPr>
          <w:rStyle w:val="FootnoteReference2"/>
          <w:szCs w:val="22"/>
        </w:rPr>
        <w:footnoteReference w:id="40"/>
      </w:r>
      <w:r>
        <w:rPr>
          <w:lang w:val="el-GR"/>
        </w:rPr>
        <w:t xml:space="preserve">. </w:t>
      </w:r>
    </w:p>
    <w:p w14:paraId="438CB725" w14:textId="77777777" w:rsidR="003929DA" w:rsidRDefault="003929DA">
      <w:pPr>
        <w:rPr>
          <w:bCs/>
          <w:lang w:val="el-GR"/>
        </w:rPr>
      </w:pPr>
      <w:r>
        <w:rPr>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77777777" w:rsidR="003929DA" w:rsidRDefault="003929DA">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41"/>
      </w:r>
      <w:r>
        <w:rPr>
          <w:bCs/>
          <w:lang w:val="el-GR"/>
        </w:rPr>
        <w:t>.</w:t>
      </w:r>
    </w:p>
    <w:p w14:paraId="2DC6CE2C" w14:textId="72B2C301"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2.2.</w:t>
      </w:r>
      <w:r w:rsidR="00BF3A2E">
        <w:rPr>
          <w:lang w:val="el-GR"/>
        </w:rPr>
        <w:t xml:space="preserve">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 xml:space="preserve">της </w:t>
      </w:r>
      <w:proofErr w:type="spellStart"/>
      <w:r w:rsidRPr="00BD65F6">
        <w:rPr>
          <w:lang w:val="el-GR"/>
        </w:rPr>
        <w:t>περ</w:t>
      </w:r>
      <w:proofErr w:type="spellEnd"/>
      <w:r w:rsidRPr="00BD65F6">
        <w:rPr>
          <w:lang w:val="el-GR"/>
        </w:rPr>
        <w:t>.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B126BF">
        <w:rPr>
          <w:vertAlign w:val="superscript"/>
        </w:rPr>
        <w:footnoteReference w:id="42"/>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77777777" w:rsidR="003929DA" w:rsidRDefault="003929DA" w:rsidP="00B63FC9">
      <w:pPr>
        <w:pStyle w:val="3"/>
        <w:spacing w:before="120"/>
        <w:rPr>
          <w:lang w:val="el-GR"/>
        </w:rPr>
      </w:pPr>
      <w:bookmarkStart w:id="20" w:name="_Toc129004411"/>
      <w:r>
        <w:rPr>
          <w:lang w:val="el-GR"/>
        </w:rPr>
        <w:t>2.2.3</w:t>
      </w:r>
      <w:r>
        <w:rPr>
          <w:lang w:val="el-GR"/>
        </w:rPr>
        <w:tab/>
        <w:t>Λόγοι αποκλεισμού</w:t>
      </w:r>
      <w:r>
        <w:rPr>
          <w:rStyle w:val="WW-FootnoteReference7"/>
          <w:lang w:val="el-GR"/>
        </w:rPr>
        <w:footnoteReference w:id="43"/>
      </w:r>
      <w:bookmarkEnd w:id="20"/>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77777777"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44"/>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lastRenderedPageBreak/>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lastRenderedPageBreak/>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 xml:space="preserve">Οι υποχρεώσεις των </w:t>
      </w:r>
      <w:proofErr w:type="spellStart"/>
      <w:r w:rsidRPr="007213D0">
        <w:rPr>
          <w:szCs w:val="22"/>
          <w:lang w:val="el-GR" w:eastAsia="el-GR"/>
        </w:rPr>
        <w:t>περ</w:t>
      </w:r>
      <w:proofErr w:type="spellEnd"/>
      <w:r w:rsidRPr="007213D0">
        <w:rPr>
          <w:szCs w:val="22"/>
          <w:lang w:val="el-GR" w:eastAsia="el-GR"/>
        </w:rPr>
        <w:t>.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11403092" w14:textId="4EF0031C" w:rsidR="003929DA" w:rsidRDefault="003929DA" w:rsidP="00BF3A2E">
      <w:pPr>
        <w:pStyle w:val="foothanging"/>
        <w:ind w:left="0" w:firstLine="0"/>
        <w:rPr>
          <w:b/>
          <w:bCs/>
          <w:sz w:val="22"/>
          <w:szCs w:val="22"/>
          <w:lang w:val="el-GR"/>
        </w:rPr>
      </w:pPr>
      <w:r>
        <w:rPr>
          <w:b/>
          <w:bCs/>
          <w:sz w:val="22"/>
          <w:szCs w:val="22"/>
          <w:lang w:val="el-GR"/>
        </w:rPr>
        <w:t xml:space="preserve">2.2.3.3 </w:t>
      </w:r>
    </w:p>
    <w:p w14:paraId="66941406" w14:textId="08BC3D75" w:rsidR="003929DA" w:rsidRDefault="003929DA">
      <w:pPr>
        <w:pStyle w:val="foothanging"/>
        <w:spacing w:after="120"/>
        <w:ind w:left="0" w:firstLine="0"/>
        <w:rPr>
          <w:b/>
          <w:bCs/>
          <w:lang w:val="el-GR"/>
        </w:rPr>
      </w:pPr>
      <w:r>
        <w:rPr>
          <w:b/>
          <w:bCs/>
          <w:sz w:val="22"/>
          <w:szCs w:val="22"/>
          <w:lang w:val="el-GR"/>
        </w:rPr>
        <w:t>β)</w:t>
      </w: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59D112DA" w14:textId="77777777" w:rsidR="003929DA" w:rsidRDefault="003929DA">
      <w:pPr>
        <w:rPr>
          <w:lang w:val="el-GR"/>
        </w:rPr>
      </w:pPr>
      <w:r>
        <w:rPr>
          <w:b/>
          <w:bCs/>
          <w:lang w:val="el-GR"/>
        </w:rPr>
        <w:t>2.2.3.4.</w:t>
      </w:r>
      <w:r>
        <w:rPr>
          <w:lang w:val="el-GR"/>
        </w:rPr>
        <w:t xml:space="preserve"> Αποκλείεται</w:t>
      </w:r>
      <w:r>
        <w:rPr>
          <w:rStyle w:val="FootnoteReference2"/>
          <w:szCs w:val="22"/>
        </w:rPr>
        <w:footnoteReference w:id="45"/>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46"/>
      </w:r>
      <w:r>
        <w:rPr>
          <w:lang w:val="el-GR"/>
        </w:rPr>
        <w:t xml:space="preserve">: </w:t>
      </w:r>
    </w:p>
    <w:p w14:paraId="44CD2BE2" w14:textId="77777777"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47"/>
      </w:r>
      <w:r>
        <w:rPr>
          <w:lang w:val="el-GR"/>
        </w:rPr>
        <w:t xml:space="preserve">, </w:t>
      </w:r>
      <w:r w:rsidR="0027167B">
        <w:rPr>
          <w:lang w:val="el-GR"/>
        </w:rPr>
        <w:t>περί αρχών που εφαρμόζονται στις διαδικασίες σύναψης δημοσίων συμβάσεων,</w:t>
      </w:r>
    </w:p>
    <w:p w14:paraId="0E194C27" w14:textId="388E753D"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w:t>
      </w:r>
      <w:r>
        <w:rPr>
          <w:lang w:val="el-GR"/>
        </w:rPr>
        <w:lastRenderedPageBreak/>
        <w:t>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48"/>
      </w:r>
      <w:r>
        <w:rPr>
          <w:lang w:val="el-GR"/>
        </w:rPr>
        <w:t xml:space="preserve"> </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w:t>
      </w:r>
    </w:p>
    <w:p w14:paraId="5AEBF937"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49"/>
      </w:r>
    </w:p>
    <w:p w14:paraId="76AB4B51" w14:textId="4C3486CB" w:rsidR="003929DA" w:rsidRDefault="003929DA" w:rsidP="00BF3A2E">
      <w:pPr>
        <w:suppressAutoHyphens w:val="0"/>
        <w:spacing w:after="160" w:line="252" w:lineRule="auto"/>
        <w:rPr>
          <w:lang w:val="el-GR"/>
        </w:rPr>
      </w:pPr>
      <w:r>
        <w:rPr>
          <w:b/>
          <w:bCs/>
          <w:lang w:val="el-GR"/>
        </w:rPr>
        <w:t>2.2.3.5.</w:t>
      </w:r>
      <w:r>
        <w:rPr>
          <w:lang w:val="el-GR"/>
        </w:rPr>
        <w:t xml:space="preserve"> </w:t>
      </w:r>
    </w:p>
    <w:p w14:paraId="4FA1B1C1" w14:textId="77777777"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w:t>
      </w:r>
      <w:proofErr w:type="spellStart"/>
      <w:r w:rsidR="003D7490" w:rsidRPr="003D7490">
        <w:rPr>
          <w:lang w:val="el-GR"/>
        </w:rPr>
        <w:t>περ</w:t>
      </w:r>
      <w:proofErr w:type="spellEnd"/>
      <w:r w:rsidR="003D7490" w:rsidRPr="003D7490">
        <w:rPr>
          <w:lang w:val="el-GR"/>
        </w:rPr>
        <w:t xml:space="preserve">. β αυτής, </w:t>
      </w:r>
      <w:r>
        <w:rPr>
          <w:lang w:val="el-GR"/>
        </w:rPr>
        <w:t>μπορεί να προσκομίζει στοιχεία</w:t>
      </w:r>
      <w:r w:rsidR="00C717A6">
        <w:rPr>
          <w:rStyle w:val="ad"/>
          <w:lang w:val="el-GR"/>
        </w:rPr>
        <w:footnoteReference w:id="50"/>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w:t>
      </w:r>
      <w:r>
        <w:rPr>
          <w:lang w:val="el-GR"/>
        </w:rPr>
        <w:lastRenderedPageBreak/>
        <w:t xml:space="preserve">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1"/>
      </w:r>
      <w:r>
        <w:rPr>
          <w:lang w:val="el-GR"/>
        </w:rPr>
        <w:t>.</w:t>
      </w:r>
    </w:p>
    <w:p w14:paraId="22B57B5F" w14:textId="77777777" w:rsidR="00330491" w:rsidRPr="00F66CA0" w:rsidRDefault="00330491"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274AC221" w14:textId="77777777" w:rsidR="00087B79" w:rsidRDefault="00087B79" w:rsidP="00F80FD6">
      <w:pPr>
        <w:rPr>
          <w:b/>
          <w:bCs/>
          <w:lang w:val="el-GR"/>
        </w:rPr>
      </w:pPr>
    </w:p>
    <w:p w14:paraId="7A0644ED" w14:textId="7CCC579A"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25400A" w:rsidRPr="0025400A">
        <w:footnoteReference w:id="52"/>
      </w:r>
      <w:r w:rsidR="0025400A">
        <w:rPr>
          <w:lang w:val="el-GR"/>
        </w:rPr>
        <w:t xml:space="preserve">,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3"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(εκδοθείσες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 xml:space="preserve">4, εκτός από την </w:t>
      </w:r>
      <w:proofErr w:type="spellStart"/>
      <w:r w:rsidRPr="00C0581E">
        <w:rPr>
          <w:lang w:val="el-GR"/>
        </w:rPr>
        <w:t>περ</w:t>
      </w:r>
      <w:proofErr w:type="spellEnd"/>
      <w:r w:rsidRPr="00C0581E">
        <w:rPr>
          <w:lang w:val="el-GR"/>
        </w:rPr>
        <w:t>.</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w:t>
      </w:r>
      <w:r w:rsidRPr="00C0581E">
        <w:rPr>
          <w:lang w:val="el-GR"/>
        </w:rPr>
        <w:lastRenderedPageBreak/>
        <w:t>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0C215252" w14:textId="77777777" w:rsidR="003929DA" w:rsidRDefault="003929DA">
      <w:pPr>
        <w:spacing w:line="360" w:lineRule="auto"/>
        <w:jc w:val="left"/>
        <w:rPr>
          <w:b/>
          <w:bCs/>
          <w:sz w:val="26"/>
          <w:szCs w:val="26"/>
          <w:lang w:val="el-GR"/>
        </w:rPr>
      </w:pPr>
    </w:p>
    <w:p w14:paraId="755FDDAA" w14:textId="77777777"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53"/>
      </w:r>
      <w:r>
        <w:rPr>
          <w:rStyle w:val="FootnoteReference2"/>
          <w:b/>
          <w:bCs/>
          <w:szCs w:val="22"/>
          <w:lang w:val="el-GR"/>
        </w:rPr>
        <w:t xml:space="preserve"> </w:t>
      </w:r>
    </w:p>
    <w:p w14:paraId="79C7C6B4" w14:textId="77777777" w:rsidR="003929DA" w:rsidRDefault="003929DA">
      <w:pPr>
        <w:pStyle w:val="3"/>
        <w:rPr>
          <w:rFonts w:eastAsia="Calibri"/>
          <w:color w:val="000000"/>
          <w:lang w:val="el-GR"/>
        </w:rPr>
      </w:pPr>
      <w:bookmarkStart w:id="21" w:name="_Toc129004412"/>
      <w:r>
        <w:rPr>
          <w:lang w:val="el-GR"/>
        </w:rPr>
        <w:t>2.2.4</w:t>
      </w:r>
      <w:r>
        <w:rPr>
          <w:lang w:val="el-GR"/>
        </w:rPr>
        <w:tab/>
        <w:t>Καταλληλότητα άσκησης επαγγελματικής δραστηριότητας</w:t>
      </w:r>
      <w:r>
        <w:rPr>
          <w:rStyle w:val="WW-FootnoteReference7"/>
          <w:lang w:val="el-GR"/>
        </w:rPr>
        <w:footnoteReference w:id="54"/>
      </w:r>
      <w:bookmarkEnd w:id="21"/>
      <w:r>
        <w:rPr>
          <w:lang w:val="el-GR"/>
        </w:rPr>
        <w:t xml:space="preserve"> </w:t>
      </w:r>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77BA3ACF" w14:textId="451D15F8" w:rsidR="00076C9E" w:rsidRPr="00DC408F" w:rsidRDefault="003929DA" w:rsidP="002F7439">
      <w:pPr>
        <w:rPr>
          <w:rFonts w:eastAsia="Calibri"/>
          <w:bCs/>
          <w:i/>
          <w:color w:val="5B9BD5"/>
          <w:vertAlign w:val="superscript"/>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2F7439">
        <w:rPr>
          <w:rFonts w:eastAsia="Calibri"/>
          <w:bCs/>
          <w:color w:val="000000"/>
          <w:lang w:val="el-GR"/>
        </w:rPr>
        <w:t>.</w:t>
      </w:r>
    </w:p>
    <w:p w14:paraId="3E6EFF46" w14:textId="77777777" w:rsidR="003929DA" w:rsidRDefault="003929DA">
      <w:pPr>
        <w:pStyle w:val="3"/>
        <w:rPr>
          <w:szCs w:val="22"/>
          <w:lang w:val="el-GR"/>
        </w:rPr>
      </w:pPr>
      <w:bookmarkStart w:id="22" w:name="_Toc129004413"/>
      <w:r>
        <w:rPr>
          <w:lang w:val="el-GR"/>
        </w:rPr>
        <w:t>2.2.5</w:t>
      </w:r>
      <w:r>
        <w:rPr>
          <w:lang w:val="el-GR"/>
        </w:rPr>
        <w:tab/>
        <w:t>Οικονομική και χρηματοοικονομική επάρκεια</w:t>
      </w:r>
      <w:r>
        <w:rPr>
          <w:rStyle w:val="WW-FootnoteReference2"/>
          <w:lang w:val="el-GR"/>
        </w:rPr>
        <w:footnoteReference w:id="55"/>
      </w:r>
      <w:bookmarkEnd w:id="22"/>
      <w:r>
        <w:rPr>
          <w:lang w:val="el-GR"/>
        </w:rPr>
        <w:t xml:space="preserve"> </w:t>
      </w:r>
    </w:p>
    <w:p w14:paraId="7B450306" w14:textId="77777777" w:rsidR="002F7439" w:rsidRPr="002F7439" w:rsidRDefault="002F7439" w:rsidP="002F7439">
      <w:pPr>
        <w:rPr>
          <w:b/>
          <w:bCs/>
          <w:szCs w:val="22"/>
          <w:lang w:val="el-GR"/>
        </w:rPr>
      </w:pPr>
      <w:r w:rsidRPr="002F7439">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Pr="002F7439">
        <w:rPr>
          <w:sz w:val="16"/>
          <w:szCs w:val="22"/>
          <w:lang w:val="el-GR"/>
        </w:rPr>
        <w:t>δηλώνουν ότι  διαθέτουν</w:t>
      </w:r>
      <w:r w:rsidRPr="002F7439">
        <w:rPr>
          <w:szCs w:val="22"/>
          <w:lang w:val="el-GR"/>
        </w:rPr>
        <w:t>:</w:t>
      </w:r>
    </w:p>
    <w:p w14:paraId="2191E781" w14:textId="77777777" w:rsidR="002F7439" w:rsidRPr="002F7439" w:rsidRDefault="002F7439" w:rsidP="002F7439">
      <w:pPr>
        <w:rPr>
          <w:szCs w:val="22"/>
          <w:lang w:val="el-GR"/>
        </w:rPr>
      </w:pPr>
      <w:r w:rsidRPr="002F7439">
        <w:rPr>
          <w:b/>
          <w:bCs/>
          <w:szCs w:val="22"/>
          <w:lang w:val="el-GR"/>
        </w:rPr>
        <w:t>α)</w:t>
      </w:r>
      <w:r w:rsidRPr="002F7439">
        <w:rPr>
          <w:szCs w:val="22"/>
          <w:lang w:val="el-GR"/>
        </w:rPr>
        <w:t xml:space="preserve"> γενικό</w:t>
      </w:r>
      <w:r w:rsidRPr="002F7439">
        <w:rPr>
          <w:szCs w:val="22"/>
          <w:vertAlign w:val="superscript"/>
          <w:lang w:val="el-GR"/>
        </w:rPr>
        <w:footnoteReference w:id="56"/>
      </w:r>
      <w:r w:rsidRPr="002F7439">
        <w:rPr>
          <w:szCs w:val="22"/>
          <w:lang w:val="el-GR"/>
        </w:rPr>
        <w:t xml:space="preserve"> μέσο ετήσιο κύκλο εργασιών</w:t>
      </w:r>
      <w:r w:rsidRPr="002F7439">
        <w:rPr>
          <w:szCs w:val="22"/>
          <w:vertAlign w:val="superscript"/>
        </w:rPr>
        <w:footnoteReference w:id="57"/>
      </w:r>
      <w:r w:rsidRPr="002F7439">
        <w:rPr>
          <w:szCs w:val="22"/>
          <w:lang w:val="el-GR"/>
        </w:rPr>
        <w:t xml:space="preserve"> (100% του προϋπολογισμού του έργου ) για τα ακόλουθα έτη:</w:t>
      </w:r>
    </w:p>
    <w:p w14:paraId="756B101C" w14:textId="77777777" w:rsidR="002F7439" w:rsidRPr="002F7439" w:rsidRDefault="002F7439" w:rsidP="002F7439">
      <w:pPr>
        <w:numPr>
          <w:ilvl w:val="0"/>
          <w:numId w:val="6"/>
        </w:numPr>
        <w:rPr>
          <w:szCs w:val="22"/>
          <w:lang w:val="el-GR"/>
        </w:rPr>
      </w:pPr>
      <w:r w:rsidRPr="002F7439">
        <w:rPr>
          <w:szCs w:val="22"/>
          <w:lang w:val="el-GR"/>
        </w:rPr>
        <w:lastRenderedPageBreak/>
        <w:t>έτος (2020) κύκλος εργασιών ευρώ</w:t>
      </w:r>
    </w:p>
    <w:p w14:paraId="2755F09E" w14:textId="77777777" w:rsidR="002F7439" w:rsidRPr="002F7439" w:rsidRDefault="002F7439" w:rsidP="002F7439">
      <w:pPr>
        <w:numPr>
          <w:ilvl w:val="0"/>
          <w:numId w:val="6"/>
        </w:numPr>
        <w:rPr>
          <w:szCs w:val="22"/>
          <w:lang w:val="el-GR"/>
        </w:rPr>
      </w:pPr>
      <w:r w:rsidRPr="002F7439">
        <w:rPr>
          <w:szCs w:val="22"/>
          <w:lang w:val="el-GR"/>
        </w:rPr>
        <w:t>έτος (2021) κύκλος εργασιών ευρώ</w:t>
      </w:r>
    </w:p>
    <w:p w14:paraId="26FCAD59" w14:textId="77777777" w:rsidR="002F7439" w:rsidRPr="002F7439" w:rsidRDefault="002F7439" w:rsidP="002F7439">
      <w:pPr>
        <w:numPr>
          <w:ilvl w:val="0"/>
          <w:numId w:val="6"/>
        </w:numPr>
        <w:rPr>
          <w:b/>
          <w:bCs/>
          <w:szCs w:val="22"/>
          <w:lang w:val="el-GR"/>
        </w:rPr>
      </w:pPr>
      <w:r w:rsidRPr="002F7439">
        <w:rPr>
          <w:szCs w:val="22"/>
          <w:lang w:val="el-GR"/>
        </w:rPr>
        <w:t>έτος (2022) κύκλος εργασιών  ευρώ</w:t>
      </w:r>
    </w:p>
    <w:p w14:paraId="469301E7" w14:textId="63DA7076" w:rsidR="002F7439" w:rsidRPr="002F7439" w:rsidRDefault="002F7439" w:rsidP="002F7439">
      <w:pPr>
        <w:rPr>
          <w:b/>
          <w:bCs/>
          <w:szCs w:val="22"/>
          <w:lang w:val="el-GR"/>
        </w:rPr>
      </w:pPr>
      <w:r w:rsidRPr="002F7439">
        <w:rPr>
          <w:lang w:val="el-GR"/>
        </w:rPr>
        <w:t xml:space="preserve">Σε περίπτωση ένωσης οικονομικών φορέων, οι παραπάνω ελάχιστες απαιτήσεις καλύπτονται αθροιστικά από τα μέλη της ένωσης. </w:t>
      </w:r>
    </w:p>
    <w:p w14:paraId="12DD5FE9" w14:textId="52016107" w:rsidR="007C1C9C" w:rsidRDefault="007C1C9C">
      <w:pPr>
        <w:rPr>
          <w:lang w:val="el-GR"/>
        </w:rPr>
      </w:pPr>
      <w:r w:rsidRPr="0090302A">
        <w:rPr>
          <w:lang w:val="el-GR"/>
        </w:rPr>
        <w:t xml:space="preserve">Σε περίπτωση ένωσης οικονομικών φορέων, οι παραπάνω ελάχιστες απαιτήσεις </w:t>
      </w:r>
      <w:r w:rsidR="00D82FEE" w:rsidRPr="0090302A">
        <w:rPr>
          <w:lang w:val="el-GR"/>
        </w:rPr>
        <w:t>καλύπτονται αθροιστικά από τα μέλη της ένωσης</w:t>
      </w:r>
      <w:r w:rsidR="0090302A">
        <w:rPr>
          <w:lang w:val="el-GR"/>
        </w:rPr>
        <w:t>.</w:t>
      </w:r>
      <w:r w:rsidR="00D82FEE" w:rsidRPr="0090302A">
        <w:rPr>
          <w:lang w:val="el-GR"/>
        </w:rPr>
        <w:t xml:space="preserve"> </w:t>
      </w:r>
    </w:p>
    <w:p w14:paraId="51B52A43" w14:textId="77777777" w:rsidR="003929DA" w:rsidRDefault="003929DA">
      <w:pPr>
        <w:pStyle w:val="3"/>
        <w:rPr>
          <w:lang w:val="el-GR"/>
        </w:rPr>
      </w:pPr>
      <w:bookmarkStart w:id="23" w:name="_Toc129004414"/>
      <w:r>
        <w:rPr>
          <w:lang w:val="el-GR"/>
        </w:rPr>
        <w:t>2.2.6</w:t>
      </w:r>
      <w:r>
        <w:rPr>
          <w:lang w:val="el-GR"/>
        </w:rPr>
        <w:tab/>
        <w:t>Τεχνική και επαγγελματική ικανότητα</w:t>
      </w:r>
      <w:r>
        <w:rPr>
          <w:rStyle w:val="WW-FootnoteReference2"/>
          <w:lang w:val="el-GR"/>
        </w:rPr>
        <w:footnoteReference w:id="58"/>
      </w:r>
      <w:bookmarkEnd w:id="23"/>
      <w:r>
        <w:rPr>
          <w:lang w:val="el-GR"/>
        </w:rPr>
        <w:t xml:space="preserve"> </w:t>
      </w:r>
    </w:p>
    <w:p w14:paraId="3853AF0B" w14:textId="77777777" w:rsidR="002F7439" w:rsidRPr="002F7439" w:rsidRDefault="002F7439" w:rsidP="002F7439">
      <w:pPr>
        <w:rPr>
          <w:b/>
          <w:bCs/>
          <w:szCs w:val="22"/>
          <w:lang w:val="el-GR"/>
        </w:rPr>
      </w:pPr>
      <w:bookmarkStart w:id="24" w:name="_Toc129004415"/>
      <w:r w:rsidRPr="002F7439">
        <w:rPr>
          <w:lang w:val="el-GR"/>
        </w:rPr>
        <w:t>Όσον αφορά στην τεχνική και επαγγελματική ικανότητα για την παρούσα διαδικασία σύναψης σύμβασης, οι οικονομικοί φορείς</w:t>
      </w:r>
      <w:r w:rsidRPr="002F7439">
        <w:rPr>
          <w:szCs w:val="22"/>
          <w:lang w:val="el-GR"/>
        </w:rPr>
        <w:t xml:space="preserve"> απαιτείται </w:t>
      </w:r>
    </w:p>
    <w:p w14:paraId="7D6F0EDC" w14:textId="77777777" w:rsidR="002F7439" w:rsidRPr="002F7439" w:rsidRDefault="002F7439" w:rsidP="002F7439">
      <w:pPr>
        <w:rPr>
          <w:bCs/>
          <w:szCs w:val="22"/>
          <w:lang w:val="el-GR"/>
        </w:rPr>
      </w:pPr>
      <w:r w:rsidRPr="002F7439">
        <w:rPr>
          <w:b/>
          <w:bCs/>
          <w:szCs w:val="22"/>
          <w:lang w:val="el-GR"/>
        </w:rPr>
        <w:t>α)</w:t>
      </w:r>
      <w:r w:rsidRPr="002F7439">
        <w:rPr>
          <w:bCs/>
          <w:szCs w:val="22"/>
          <w:lang w:val="el-GR"/>
        </w:rPr>
        <w:t xml:space="preserve"> κατά τη διάρκεια των τριών ετών (2020,2021, 2022)</w:t>
      </w:r>
      <w:r w:rsidRPr="002F7439">
        <w:rPr>
          <w:bCs/>
          <w:szCs w:val="22"/>
          <w:vertAlign w:val="superscript"/>
          <w:lang w:val="el-GR"/>
        </w:rPr>
        <w:footnoteReference w:id="59"/>
      </w:r>
      <w:r w:rsidRPr="002F7439">
        <w:rPr>
          <w:bCs/>
          <w:szCs w:val="22"/>
          <w:vertAlign w:val="superscript"/>
          <w:lang w:val="el-GR"/>
        </w:rPr>
        <w:t xml:space="preserve"> </w:t>
      </w:r>
      <w:r w:rsidRPr="002F7439">
        <w:rPr>
          <w:bCs/>
          <w:szCs w:val="22"/>
          <w:lang w:val="el-GR"/>
        </w:rPr>
        <w:t xml:space="preserve">, να έχουν εκτελέσει </w:t>
      </w:r>
      <w:r w:rsidRPr="002F7439">
        <w:rPr>
          <w:lang w:val="el-GR"/>
        </w:rPr>
        <w:t>συμβάσεις προμηθειών</w:t>
      </w:r>
      <w:r w:rsidRPr="002F7439">
        <w:rPr>
          <w:bCs/>
          <w:szCs w:val="22"/>
          <w:lang w:val="el-GR"/>
        </w:rPr>
        <w:t xml:space="preserve">  του συγκεκριμένου τύπου (αντίστοιχο έργο σε αντικείμενο και ποσό).</w:t>
      </w:r>
    </w:p>
    <w:p w14:paraId="289A1445" w14:textId="77777777" w:rsidR="002F7439" w:rsidRPr="002F7439" w:rsidRDefault="002F7439" w:rsidP="002F7439">
      <w:pPr>
        <w:rPr>
          <w:b/>
          <w:bCs/>
          <w:szCs w:val="22"/>
          <w:lang w:val="el-GR"/>
        </w:rPr>
      </w:pPr>
      <w:r w:rsidRPr="002F7439">
        <w:rPr>
          <w:b/>
          <w:bCs/>
          <w:szCs w:val="22"/>
          <w:lang w:val="el-GR"/>
        </w:rPr>
        <w:t xml:space="preserve">β) </w:t>
      </w:r>
      <w:r w:rsidRPr="002F7439">
        <w:rPr>
          <w:bCs/>
          <w:szCs w:val="22"/>
          <w:lang w:val="el-GR"/>
        </w:rPr>
        <w:t>να διαθέτουν το απαιτούμενο τεχνικό προσωπικό ή τεχνικές υπηρεσίες για τον έλεγχο της ποιότητας,</w:t>
      </w:r>
    </w:p>
    <w:p w14:paraId="3A0868C5" w14:textId="77777777" w:rsidR="002F7439" w:rsidRPr="002F7439" w:rsidRDefault="002F7439" w:rsidP="002F7439">
      <w:pPr>
        <w:rPr>
          <w:b/>
          <w:bCs/>
          <w:szCs w:val="22"/>
          <w:lang w:val="el-GR"/>
        </w:rPr>
      </w:pPr>
      <w:r w:rsidRPr="002F7439">
        <w:rPr>
          <w:b/>
          <w:bCs/>
          <w:szCs w:val="22"/>
          <w:lang w:val="el-GR"/>
        </w:rPr>
        <w:t>γ)</w:t>
      </w:r>
      <w:r w:rsidRPr="002F7439">
        <w:rPr>
          <w:bCs/>
          <w:szCs w:val="22"/>
          <w:lang w:val="el-GR"/>
        </w:rPr>
        <w:t xml:space="preserve"> να διαθέτουν την απαιτούμενη τεχνογνωσία, εμπειρία, μηχανήματα και εγκαταστάσεις</w:t>
      </w:r>
    </w:p>
    <w:p w14:paraId="6FA80EE7" w14:textId="77777777" w:rsidR="002F7439" w:rsidRPr="002F7439" w:rsidRDefault="002F7439" w:rsidP="002F7439">
      <w:pPr>
        <w:rPr>
          <w:lang w:val="el-GR"/>
        </w:rPr>
      </w:pPr>
      <w:r w:rsidRPr="002F7439">
        <w:rPr>
          <w:b/>
          <w:bCs/>
          <w:lang w:val="el-GR"/>
        </w:rPr>
        <w:t>δ) να</w:t>
      </w:r>
      <w:r w:rsidRPr="002F7439">
        <w:rPr>
          <w:lang w:val="el-GR"/>
        </w:rPr>
        <w:t xml:space="preserve"> </w:t>
      </w:r>
      <w:r w:rsidRPr="002F7439">
        <w:rPr>
          <w:bCs/>
          <w:szCs w:val="22"/>
          <w:lang w:val="el-GR"/>
        </w:rPr>
        <w:t>διαθέτουν</w:t>
      </w:r>
      <w:r w:rsidRPr="002F7439">
        <w:rPr>
          <w:lang w:val="el-GR"/>
        </w:rPr>
        <w:t xml:space="preserve"> τον τεχνικό εξοπλισμό και να λαμβάνουν μέτρα για την εξασφάλιση της ποιότητας </w:t>
      </w:r>
    </w:p>
    <w:p w14:paraId="51381C01" w14:textId="77777777" w:rsidR="003929DA" w:rsidRDefault="003929DA">
      <w:pPr>
        <w:pStyle w:val="3"/>
        <w:rPr>
          <w:i/>
          <w:color w:val="5B9BD5"/>
          <w:lang w:val="el-GR"/>
        </w:rPr>
      </w:pPr>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60"/>
      </w:r>
      <w:bookmarkEnd w:id="24"/>
      <w:r>
        <w:rPr>
          <w:lang w:val="el-GR"/>
        </w:rPr>
        <w:t xml:space="preserve"> </w:t>
      </w:r>
    </w:p>
    <w:p w14:paraId="53902D75" w14:textId="78DB1BF9" w:rsidR="002F7439" w:rsidRPr="002F7439" w:rsidRDefault="002F7439" w:rsidP="002F7439">
      <w:pPr>
        <w:rPr>
          <w:lang w:val="el-GR"/>
        </w:rPr>
      </w:pPr>
      <w:bookmarkStart w:id="25" w:name="_Toc129004416"/>
      <w:r w:rsidRPr="002F7439">
        <w:rPr>
          <w:lang w:val="el-GR"/>
        </w:rPr>
        <w:t xml:space="preserve">Οι οικονομικοί φορείς για την παρούσα διαδικασία σύναψης σύμβασης οφείλουν να διαθέτουν πιστοποιήσεις </w:t>
      </w:r>
      <w:r w:rsidRPr="002F7439">
        <w:rPr>
          <w:lang w:val="en-US"/>
        </w:rPr>
        <w:t>ISO</w:t>
      </w:r>
      <w:r w:rsidRPr="002F7439">
        <w:rPr>
          <w:lang w:val="el-GR"/>
        </w:rPr>
        <w:t xml:space="preserve">, σύμφωνα με τις τεχνικές </w:t>
      </w:r>
      <w:r w:rsidRPr="0075659A">
        <w:rPr>
          <w:lang w:val="el-GR"/>
        </w:rPr>
        <w:t>προδιαγραφές στο ΠΑΡΑΡΤΗΜΑ Ι</w:t>
      </w:r>
      <w:r w:rsidRPr="002F7439">
        <w:rPr>
          <w:color w:val="FF0000"/>
          <w:lang w:val="el-GR"/>
        </w:rPr>
        <w:t>.</w:t>
      </w:r>
      <w:r w:rsidRPr="002F7439">
        <w:rPr>
          <w:color w:val="FF0000"/>
          <w:szCs w:val="22"/>
          <w:vertAlign w:val="superscript"/>
          <w:lang w:val="el-GR"/>
        </w:rPr>
        <w:t xml:space="preserve">   </w:t>
      </w:r>
      <w:r w:rsidRPr="002F7439">
        <w:rPr>
          <w:szCs w:val="22"/>
          <w:vertAlign w:val="superscript"/>
          <w:lang w:val="el-GR"/>
        </w:rPr>
        <w:t xml:space="preserve">     </w:t>
      </w:r>
      <w:r w:rsidRPr="002F7439">
        <w:rPr>
          <w:szCs w:val="22"/>
          <w:vertAlign w:val="superscript"/>
          <w:lang w:val="el-GR"/>
        </w:rPr>
        <w:footnoteReference w:id="61"/>
      </w:r>
      <w:r w:rsidRPr="002F7439">
        <w:rPr>
          <w:lang w:val="el-GR"/>
        </w:rPr>
        <w:t xml:space="preserve">  </w:t>
      </w:r>
    </w:p>
    <w:p w14:paraId="5D2CB439" w14:textId="77777777" w:rsidR="002F7439" w:rsidRPr="002F7439" w:rsidRDefault="002F7439" w:rsidP="002F7439">
      <w:pPr>
        <w:rPr>
          <w:i/>
          <w:lang w:val="el-GR"/>
        </w:rPr>
      </w:pPr>
      <w:r w:rsidRPr="002F7439">
        <w:rPr>
          <w:lang w:val="el-GR"/>
        </w:rPr>
        <w:t xml:space="preserve">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w:t>
      </w:r>
      <w:r w:rsidRPr="002F7439">
        <w:rPr>
          <w:i/>
          <w:lang w:val="el-GR"/>
        </w:rPr>
        <w:t>σύμφωνα με τον Κανονισμό 765/2008</w:t>
      </w:r>
      <w:r w:rsidRPr="002F7439">
        <w:rPr>
          <w:i/>
          <w:vertAlign w:val="superscript"/>
          <w:lang w:val="el-GR"/>
        </w:rPr>
        <w:footnoteReference w:id="62"/>
      </w:r>
      <w:r w:rsidRPr="002F7439">
        <w:rPr>
          <w:i/>
          <w:lang w:val="el-GR"/>
        </w:rPr>
        <w:t xml:space="preserve">.   </w:t>
      </w:r>
      <w:r w:rsidRPr="002F7439">
        <w:rPr>
          <w:lang w:val="el-GR"/>
        </w:rPr>
        <w:t xml:space="preserve">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3A693924" w14:textId="77777777" w:rsidR="003929DA" w:rsidRDefault="003929DA">
      <w:pPr>
        <w:pStyle w:val="3"/>
        <w:rPr>
          <w:lang w:val="el-GR"/>
        </w:rPr>
      </w:pPr>
      <w:r>
        <w:rPr>
          <w:lang w:val="el-GR"/>
        </w:rPr>
        <w:lastRenderedPageBreak/>
        <w:t>2.2.8</w:t>
      </w:r>
      <w:r>
        <w:rPr>
          <w:lang w:val="el-GR"/>
        </w:rPr>
        <w:tab/>
        <w:t xml:space="preserve">Στήριξη στην ικανότητα τρίτων </w:t>
      </w:r>
      <w:r w:rsidR="005D11ED">
        <w:rPr>
          <w:lang w:val="el-GR"/>
        </w:rPr>
        <w:t>– Υπεργολαβία</w:t>
      </w:r>
      <w:bookmarkEnd w:id="25"/>
    </w:p>
    <w:p w14:paraId="71C1E96D" w14:textId="77777777" w:rsidR="008D7723" w:rsidRPr="00EE08A6" w:rsidRDefault="005D11ED" w:rsidP="007C2136">
      <w:pPr>
        <w:pStyle w:val="4"/>
        <w:rPr>
          <w:lang w:val="el-GR"/>
        </w:rPr>
      </w:pPr>
      <w:bookmarkStart w:id="26" w:name="_Toc129004417"/>
      <w:r w:rsidRPr="00EE08A6">
        <w:rPr>
          <w:lang w:val="el-GR"/>
        </w:rPr>
        <w:t xml:space="preserve">2.2.8.1. </w:t>
      </w:r>
      <w:r w:rsidR="008D7723" w:rsidRPr="00EE08A6">
        <w:rPr>
          <w:lang w:val="el-GR"/>
        </w:rPr>
        <w:t>Στήριξη στην ικανότητα τρίτων</w:t>
      </w:r>
      <w:r w:rsidR="006566B6">
        <w:rPr>
          <w:rStyle w:val="ad"/>
          <w:b w:val="0"/>
          <w:bCs w:val="0"/>
          <w:lang w:val="el-GR"/>
        </w:rPr>
        <w:footnoteReference w:id="63"/>
      </w:r>
      <w:bookmarkEnd w:id="26"/>
    </w:p>
    <w:p w14:paraId="3724E226" w14:textId="77777777" w:rsidR="006C6F3C" w:rsidRPr="00FE4670" w:rsidRDefault="003929DA">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64"/>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56817A8B" w14:textId="4C4997B9" w:rsidR="003929DA" w:rsidRDefault="000E636F">
      <w:pPr>
        <w:rPr>
          <w:szCs w:val="22"/>
          <w:lang w:val="el-GR"/>
        </w:rPr>
      </w:pPr>
      <w:r>
        <w:rPr>
          <w:szCs w:val="22"/>
          <w:lang w:val="el-GR"/>
        </w:rPr>
        <w:t xml:space="preserve"> </w:t>
      </w:r>
      <w:r w:rsidR="003929DA">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40470AAD" w14:textId="77777777"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18F26350" w14:textId="6146FE3B"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27" w:name="_Toc129004418"/>
      <w:r w:rsidRPr="00EE08A6">
        <w:rPr>
          <w:lang w:val="el-GR"/>
        </w:rPr>
        <w:t xml:space="preserve">2.2.8.2. </w:t>
      </w:r>
      <w:r w:rsidR="008D7723" w:rsidRPr="00EE08A6">
        <w:rPr>
          <w:lang w:val="el-GR"/>
        </w:rPr>
        <w:t>Υπεργολαβία</w:t>
      </w:r>
      <w:bookmarkEnd w:id="27"/>
    </w:p>
    <w:p w14:paraId="1CA3B9DD" w14:textId="31A07A31"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w:t>
      </w:r>
      <w:proofErr w:type="spellStart"/>
      <w:r>
        <w:rPr>
          <w:bCs/>
          <w:lang w:val="el-GR"/>
        </w:rPr>
        <w:t>τμήμα(τα</w:t>
      </w:r>
      <w:proofErr w:type="spellEnd"/>
      <w:r>
        <w:rPr>
          <w:bCs/>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65"/>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28" w:name="_Toc129004419"/>
      <w:r>
        <w:rPr>
          <w:lang w:val="el-GR"/>
        </w:rPr>
        <w:t>2.2.9</w:t>
      </w:r>
      <w:r>
        <w:rPr>
          <w:lang w:val="el-GR"/>
        </w:rPr>
        <w:tab/>
        <w:t>Κανόνες απόδειξης ποιοτικής επιλογής</w:t>
      </w:r>
      <w:bookmarkEnd w:id="28"/>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w:t>
      </w:r>
      <w:proofErr w:type="spellStart"/>
      <w:r>
        <w:rPr>
          <w:bCs/>
          <w:lang w:val="el-GR"/>
        </w:rPr>
        <w:t>περ</w:t>
      </w:r>
      <w:proofErr w:type="spellEnd"/>
      <w:r>
        <w:rPr>
          <w:bCs/>
          <w:lang w:val="el-GR"/>
        </w:rPr>
        <w:t xml:space="preserve">. </w:t>
      </w:r>
      <w:proofErr w:type="spellStart"/>
      <w:r w:rsidR="008D7723">
        <w:rPr>
          <w:bCs/>
          <w:lang w:val="el-GR"/>
        </w:rPr>
        <w:t>δ</w:t>
      </w:r>
      <w:r>
        <w:rPr>
          <w:bCs/>
          <w:lang w:val="el-GR"/>
        </w:rPr>
        <w:t>΄</w:t>
      </w:r>
      <w:proofErr w:type="spellEnd"/>
      <w:r>
        <w:rPr>
          <w:bCs/>
          <w:lang w:val="el-GR"/>
        </w:rPr>
        <w:t xml:space="preserve"> της παρ. 3 του άρθρου 105</w:t>
      </w:r>
      <w:r w:rsidR="002D2C87">
        <w:rPr>
          <w:bCs/>
          <w:lang w:val="el-GR"/>
        </w:rPr>
        <w:t xml:space="preserve"> του ν. 4412/2016</w:t>
      </w:r>
      <w:r>
        <w:rPr>
          <w:bCs/>
          <w:lang w:val="el-GR"/>
        </w:rPr>
        <w:t xml:space="preserve">. </w:t>
      </w:r>
    </w:p>
    <w:p w14:paraId="60FA767A" w14:textId="6A035371"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w:t>
      </w:r>
      <w:r>
        <w:rPr>
          <w:bCs/>
          <w:lang w:val="el-GR"/>
        </w:rPr>
        <w:lastRenderedPageBreak/>
        <w:t xml:space="preserve">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rStyle w:val="WW-FootnoteReference9"/>
          <w:bCs/>
          <w:lang w:val="el-GR"/>
        </w:rPr>
        <w:footnoteReference w:id="66"/>
      </w:r>
      <w:r w:rsidRPr="00245B54">
        <w:rPr>
          <w:bCs/>
          <w:lang w:val="el-GR"/>
        </w:rPr>
        <w:t>.</w:t>
      </w:r>
    </w:p>
    <w:p w14:paraId="03A00DBA"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w:t>
      </w:r>
      <w:proofErr w:type="spellStart"/>
      <w:r>
        <w:rPr>
          <w:bCs/>
          <w:lang w:val="el-GR"/>
        </w:rPr>
        <w:t>τμήμα(τα</w:t>
      </w:r>
      <w:proofErr w:type="spellEnd"/>
      <w:r>
        <w:rPr>
          <w:bCs/>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w:t>
      </w:r>
      <w:r>
        <w:rPr>
          <w:rStyle w:val="WW-FootnoteReference9"/>
          <w:bCs/>
          <w:lang w:val="el-GR"/>
        </w:rPr>
        <w:footnoteReference w:id="67"/>
      </w:r>
      <w:r>
        <w:rPr>
          <w:bCs/>
          <w:lang w:val="el-GR"/>
        </w:rPr>
        <w:t xml:space="preserve">. </w:t>
      </w:r>
    </w:p>
    <w:p w14:paraId="2E3B3F29" w14:textId="40DDA47A"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w:t>
      </w:r>
      <w:r w:rsidRPr="00E14C02">
        <w:rPr>
          <w:rFonts w:eastAsia="Calibri" w:cs="Times New Roman"/>
          <w:szCs w:val="22"/>
          <w:vertAlign w:val="superscript"/>
          <w:lang w:val="el-GR" w:eastAsia="en-US"/>
        </w:rPr>
        <w:footnoteReference w:id="68"/>
      </w:r>
      <w:r w:rsidRPr="00E14C02">
        <w:rPr>
          <w:rFonts w:eastAsia="Calibri" w:cs="Times New Roman"/>
          <w:szCs w:val="22"/>
          <w:lang w:val="el-GR" w:eastAsia="en-US"/>
        </w:rPr>
        <w:t xml:space="preserve">. </w:t>
      </w:r>
    </w:p>
    <w:p w14:paraId="31F2D047" w14:textId="77777777" w:rsidR="003929DA" w:rsidRDefault="003929DA">
      <w:pPr>
        <w:pStyle w:val="4"/>
        <w:ind w:left="567" w:hanging="567"/>
        <w:rPr>
          <w:i/>
          <w:color w:val="5B9BD5"/>
          <w:lang w:val="el-GR"/>
        </w:rPr>
      </w:pPr>
      <w:bookmarkStart w:id="29" w:name="_Toc129004420"/>
      <w:r>
        <w:rPr>
          <w:lang w:val="el-GR"/>
        </w:rPr>
        <w:t>2.2.9.1</w:t>
      </w:r>
      <w:r>
        <w:rPr>
          <w:lang w:val="el-GR"/>
        </w:rPr>
        <w:tab/>
        <w:t>Προκαταρκτική απόδειξη κατά την υποβολή προσφορών</w:t>
      </w:r>
      <w:bookmarkEnd w:id="29"/>
      <w:r>
        <w:rPr>
          <w:lang w:val="el-GR"/>
        </w:rPr>
        <w:t xml:space="preserve"> </w:t>
      </w:r>
    </w:p>
    <w:p w14:paraId="4B2CF91A" w14:textId="3BC97815"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75659A">
        <w:rPr>
          <w:lang w:val="el-GR"/>
        </w:rPr>
        <w:t>Παράρτημα</w:t>
      </w:r>
      <w:r w:rsidR="0075659A" w:rsidRPr="0075659A">
        <w:rPr>
          <w:lang w:val="el-GR"/>
        </w:rPr>
        <w:t xml:space="preserve"> </w:t>
      </w:r>
      <w:r w:rsidR="0075659A" w:rsidRPr="0075659A">
        <w:rPr>
          <w:lang w:val="en-US"/>
        </w:rPr>
        <w:t>V</w:t>
      </w:r>
      <w:r w:rsidR="006A725D">
        <w:rPr>
          <w:lang w:val="el-GR"/>
        </w:rPr>
        <w:t>Ι</w:t>
      </w:r>
      <w:bookmarkStart w:id="30" w:name="_GoBack"/>
      <w:bookmarkEnd w:id="30"/>
      <w:r w:rsidR="002F7439" w:rsidRPr="0075659A">
        <w:rPr>
          <w:lang w:val="el-GR"/>
        </w:rPr>
        <w:t xml:space="preserve">, </w:t>
      </w:r>
      <w:r>
        <w:rPr>
          <w:lang w:val="el-GR"/>
        </w:rPr>
        <w:t xml:space="preserve">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w:t>
      </w:r>
      <w:r w:rsidRPr="00103DDF">
        <w:rPr>
          <w:rStyle w:val="WW-FootnoteReference9"/>
          <w:lang w:val="el-GR"/>
        </w:rPr>
        <w:footnoteReference w:id="69"/>
      </w:r>
      <w:r w:rsidRPr="00103DDF">
        <w:rPr>
          <w:lang w:val="el-GR"/>
        </w:rPr>
        <w:t xml:space="preserve">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r>
        <w:rPr>
          <w:rStyle w:val="WW-FootnoteReference10"/>
          <w:lang w:val="el-GR"/>
        </w:rPr>
        <w:footnoteReference w:id="70"/>
      </w:r>
      <w:r>
        <w:rPr>
          <w:lang w:val="el-GR"/>
        </w:rPr>
        <w:t xml:space="preserve"> </w:t>
      </w:r>
    </w:p>
    <w:p w14:paraId="6DC58506"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71"/>
      </w:r>
    </w:p>
    <w:p w14:paraId="4D8D3835" w14:textId="77777777"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r w:rsidRPr="000012EE">
        <w:rPr>
          <w:rStyle w:val="ad"/>
          <w:bCs/>
          <w:iCs/>
          <w:lang w:val="el-GR"/>
        </w:rPr>
        <w:footnoteReference w:id="72"/>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w:t>
      </w:r>
      <w:r>
        <w:rPr>
          <w:lang w:val="el-GR"/>
        </w:rPr>
        <w:lastRenderedPageBreak/>
        <w:t>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432FDF32"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73"/>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vertAlign w:val="superscript"/>
          <w:lang w:val="el-GR" w:eastAsia="en-US"/>
        </w:rPr>
        <w:footnoteReference w:id="74"/>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14:paraId="0E09A164" w14:textId="5D7C841E"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w:t>
      </w:r>
      <w:proofErr w:type="spellStart"/>
      <w:r w:rsidR="00D61E70">
        <w:rPr>
          <w:rFonts w:eastAsia="Calibri" w:cs="Times New Roman"/>
          <w:szCs w:val="22"/>
          <w:lang w:val="el-GR" w:eastAsia="en-US"/>
        </w:rPr>
        <w:t>περ</w:t>
      </w:r>
      <w:proofErr w:type="spellEnd"/>
      <w:r w:rsidR="00D61E70">
        <w:rPr>
          <w:rFonts w:eastAsia="Calibri" w:cs="Times New Roman"/>
          <w:szCs w:val="22"/>
          <w:lang w:val="el-GR" w:eastAsia="en-US"/>
        </w:rPr>
        <w:t xml:space="preserve">.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75"/>
      </w:r>
      <w:r w:rsidRPr="00E14C02">
        <w:rPr>
          <w:rFonts w:eastAsia="Calibri" w:cs="Times New Roman"/>
          <w:szCs w:val="22"/>
          <w:lang w:val="el-GR" w:eastAsia="en-US"/>
        </w:rPr>
        <w:t>.</w:t>
      </w:r>
    </w:p>
    <w:p w14:paraId="22812217"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w:t>
      </w:r>
      <w:proofErr w:type="spellStart"/>
      <w:r w:rsidRPr="00E14C02">
        <w:rPr>
          <w:rFonts w:eastAsia="Calibri" w:cs="Times New Roman"/>
          <w:szCs w:val="22"/>
          <w:lang w:val="el-GR" w:eastAsia="en-US"/>
        </w:rPr>
        <w:t>περ</w:t>
      </w:r>
      <w:proofErr w:type="spellEnd"/>
      <w:r w:rsidRPr="00E14C02">
        <w:rPr>
          <w:rFonts w:eastAsia="Calibri" w:cs="Times New Roman"/>
          <w:szCs w:val="22"/>
          <w:lang w:val="el-GR" w:eastAsia="en-US"/>
        </w:rPr>
        <w:t>.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76"/>
      </w:r>
      <w:r w:rsidRPr="00E14C02">
        <w:rPr>
          <w:rFonts w:eastAsia="Calibri" w:cs="Times New Roman"/>
          <w:szCs w:val="22"/>
          <w:lang w:val="el-GR" w:eastAsia="en-US"/>
        </w:rPr>
        <w:t>.</w:t>
      </w:r>
    </w:p>
    <w:p w14:paraId="4F059F00" w14:textId="180BC1B2"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w:t>
      </w:r>
      <w:proofErr w:type="spellStart"/>
      <w:r w:rsidRPr="00CD148D">
        <w:rPr>
          <w:rFonts w:eastAsia="Calibri" w:cs="Times New Roman"/>
          <w:szCs w:val="22"/>
          <w:lang w:val="el-GR" w:eastAsia="en-US"/>
        </w:rPr>
        <w:t>περ</w:t>
      </w:r>
      <w:proofErr w:type="spellEnd"/>
      <w:r w:rsidRPr="00CD148D">
        <w:rPr>
          <w:rFonts w:eastAsia="Calibri" w:cs="Times New Roman"/>
          <w:szCs w:val="22"/>
          <w:lang w:val="el-GR" w:eastAsia="en-US"/>
        </w:rPr>
        <w:t>.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000C6682">
        <w:rPr>
          <w:rStyle w:val="ad"/>
          <w:rFonts w:eastAsia="Calibri" w:cs="Times New Roman"/>
          <w:szCs w:val="22"/>
          <w:lang w:val="el-GR" w:eastAsia="en-US"/>
        </w:rPr>
        <w:footnoteReference w:id="77"/>
      </w:r>
      <w:r w:rsidRPr="00F62DBC">
        <w:rPr>
          <w:rFonts w:eastAsia="Calibri" w:cs="Times New Roman"/>
          <w:szCs w:val="22"/>
          <w:lang w:val="el-GR" w:eastAsia="en-US"/>
        </w:rPr>
        <w:t>:</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w:t>
      </w:r>
      <w:proofErr w:type="spellStart"/>
      <w:r w:rsidRPr="00F62DBC">
        <w:rPr>
          <w:rFonts w:eastAsia="Calibri" w:cs="Times New Roman"/>
          <w:szCs w:val="22"/>
          <w:lang w:val="el-GR" w:eastAsia="en-US"/>
        </w:rPr>
        <w:t>περ</w:t>
      </w:r>
      <w:proofErr w:type="spellEnd"/>
      <w:r w:rsidRPr="00F62DBC">
        <w:rPr>
          <w:rFonts w:eastAsia="Calibri" w:cs="Times New Roman"/>
          <w:szCs w:val="22"/>
          <w:lang w:val="el-GR" w:eastAsia="en-US"/>
        </w:rPr>
        <w:t>.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 xml:space="preserve">σης μετά την ημερομηνία που εκδόθηκε η απόφαση της </w:t>
      </w:r>
      <w:proofErr w:type="spellStart"/>
      <w:r w:rsidRPr="00F62DBC">
        <w:rPr>
          <w:rFonts w:eastAsia="Calibri" w:cs="Times New Roman"/>
          <w:szCs w:val="22"/>
          <w:lang w:val="el-GR" w:eastAsia="en-US"/>
        </w:rPr>
        <w:t>περ</w:t>
      </w:r>
      <w:proofErr w:type="spellEnd"/>
      <w:r w:rsidRPr="00F62DBC">
        <w:rPr>
          <w:rFonts w:eastAsia="Calibri" w:cs="Times New Roman"/>
          <w:szCs w:val="22"/>
          <w:lang w:val="el-GR" w:eastAsia="en-US"/>
        </w:rPr>
        <w:t>.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6BD855DA" w14:textId="61EF3B9D" w:rsidR="001C57FC" w:rsidRPr="001C57FC" w:rsidRDefault="0041076B" w:rsidP="00544400">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lastRenderedPageBreak/>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0C97C615" w14:textId="77777777" w:rsidR="003929DA" w:rsidRPr="00C513BF" w:rsidRDefault="003929DA" w:rsidP="00C513BF">
      <w:pPr>
        <w:pStyle w:val="4"/>
        <w:ind w:left="567" w:hanging="567"/>
        <w:rPr>
          <w:lang w:val="el-GR"/>
        </w:rPr>
      </w:pPr>
      <w:bookmarkStart w:id="31" w:name="_Toc129004421"/>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78"/>
      </w:r>
      <w:bookmarkEnd w:id="31"/>
      <w:r>
        <w:rPr>
          <w:lang w:val="el-GR"/>
        </w:rPr>
        <w:t xml:space="preserve"> </w:t>
      </w:r>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9"/>
      </w:r>
      <w:r>
        <w:rPr>
          <w:bCs/>
          <w:lang w:val="el-GR"/>
        </w:rPr>
        <w:t>.</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E2BFF06" w14:textId="6EB581A2"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A94B44" w:rsidRPr="000649DF">
        <w:rPr>
          <w:rStyle w:val="ad"/>
          <w:lang w:val="el-GR"/>
        </w:rPr>
        <w:footnoteReference w:id="80"/>
      </w:r>
      <w:r w:rsidRPr="000649DF">
        <w:rPr>
          <w:lang w:val="el-GR"/>
        </w:rPr>
        <w:t>.</w:t>
      </w:r>
      <w:r w:rsidR="00AD4457">
        <w:rPr>
          <w:lang w:val="el-GR"/>
        </w:rPr>
        <w:t xml:space="preserve"> Ο</w:t>
      </w:r>
      <w:r w:rsidR="00AD4457" w:rsidRPr="00AD4457">
        <w:rPr>
          <w:lang w:val="el-GR"/>
        </w:rPr>
        <w:t>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Pr>
          <w:lang w:val="el-GR"/>
        </w:rPr>
        <w:t xml:space="preserve"> της παραγράφου 3.2 της παρούσας,</w:t>
      </w:r>
      <w:r w:rsidR="00AD4457" w:rsidRPr="00AD4457">
        <w:rPr>
          <w:lang w:val="el-GR"/>
        </w:rPr>
        <w:t xml:space="preserve"> από τον προσωρινό ανάδοχο, μέσω του υποσυστήματος, στον φάκελο «δικαιολογητικά προσωρινού αναδόχου</w:t>
      </w:r>
      <w:r w:rsidR="008E22B1">
        <w:rPr>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w:t>
      </w:r>
      <w:r>
        <w:rPr>
          <w:color w:val="000000"/>
          <w:lang w:val="el-GR"/>
        </w:rPr>
        <w:lastRenderedPageBreak/>
        <w:t xml:space="preserve">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Pr>
          <w:color w:val="000000"/>
          <w:lang w:val="el-GR"/>
        </w:rPr>
        <w:t>περ</w:t>
      </w:r>
      <w:proofErr w:type="spellEnd"/>
      <w:r>
        <w:rPr>
          <w:color w:val="000000"/>
          <w:lang w:val="el-GR"/>
        </w:rPr>
        <w:t xml:space="preserve">. α’ και β’, καθώς και στην </w:t>
      </w:r>
      <w:proofErr w:type="spellStart"/>
      <w:r>
        <w:rPr>
          <w:color w:val="000000"/>
          <w:lang w:val="el-GR"/>
        </w:rPr>
        <w:t>περ</w:t>
      </w:r>
      <w:proofErr w:type="spellEnd"/>
      <w:r>
        <w:rPr>
          <w:color w:val="000000"/>
          <w:lang w:val="el-GR"/>
        </w:rPr>
        <w:t xml:space="preserve">. </w:t>
      </w:r>
      <w:proofErr w:type="spellStart"/>
      <w:r>
        <w:rPr>
          <w:color w:val="000000"/>
          <w:lang w:val="el-GR"/>
        </w:rPr>
        <w:t>β΄</w:t>
      </w:r>
      <w:proofErr w:type="spellEnd"/>
      <w:r>
        <w:rPr>
          <w:color w:val="000000"/>
          <w:lang w:val="el-GR"/>
        </w:rPr>
        <w:t xml:space="preserve">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proofErr w:type="gramStart"/>
      <w:r w:rsidR="003929DA">
        <w:rPr>
          <w:color w:val="000000"/>
          <w:lang w:val="el-GR"/>
        </w:rPr>
        <w:t>..</w:t>
      </w:r>
      <w:proofErr w:type="gramEnd"/>
      <w:r w:rsidR="004165DD" w:rsidRPr="00BD65F6">
        <w:rPr>
          <w:color w:val="000000"/>
          <w:lang w:val="el-GR"/>
        </w:rPr>
        <w:t xml:space="preserve"> </w:t>
      </w:r>
    </w:p>
    <w:p w14:paraId="721DA9EE" w14:textId="77777777" w:rsidR="003929DA" w:rsidRDefault="00032BAF">
      <w:pPr>
        <w:rPr>
          <w:bCs/>
          <w:i/>
          <w:color w:val="5B9BD5"/>
          <w:lang w:val="el-GR"/>
        </w:rPr>
      </w:pPr>
      <w:proofErr w:type="gramStart"/>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proofErr w:type="gramEnd"/>
      <w:r w:rsidR="003929DA">
        <w:rPr>
          <w:color w:val="000000"/>
          <w:lang w:val="el-GR"/>
        </w:rPr>
        <w:t xml:space="preserve"> </w:t>
      </w:r>
    </w:p>
    <w:p w14:paraId="75CCC0CE" w14:textId="77777777" w:rsidR="003929DA" w:rsidRDefault="00032BAF">
      <w:pPr>
        <w:rPr>
          <w:b/>
          <w:bCs/>
          <w:color w:val="000000"/>
          <w:lang w:val="el-GR"/>
        </w:rPr>
      </w:pPr>
      <w:proofErr w:type="gramStart"/>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roofErr w:type="gramEnd"/>
    </w:p>
    <w:p w14:paraId="4B0D851D" w14:textId="26518E64" w:rsidR="003929DA" w:rsidRDefault="003929DA">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81"/>
      </w:r>
      <w:r>
        <w:rPr>
          <w:color w:val="000000"/>
          <w:lang w:val="el-GR"/>
        </w:rPr>
        <w:t xml:space="preserve"> περίπτωση </w:t>
      </w:r>
      <w:proofErr w:type="spellStart"/>
      <w:r>
        <w:rPr>
          <w:color w:val="000000"/>
          <w:lang w:val="el-GR"/>
        </w:rPr>
        <w:t>β΄</w:t>
      </w:r>
      <w:proofErr w:type="spellEnd"/>
      <w:r>
        <w:rPr>
          <w:color w:val="000000"/>
          <w:lang w:val="el-GR"/>
        </w:rPr>
        <w:t xml:space="preserve">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Pr="006C3ED8" w:rsidRDefault="003929DA">
      <w:pPr>
        <w:rPr>
          <w:b/>
          <w:bCs/>
          <w:color w:val="000000"/>
          <w:lang w:val="el-GR"/>
        </w:rPr>
      </w:pPr>
      <w:r w:rsidRPr="006C3ED8">
        <w:rPr>
          <w:b/>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32"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2"/>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77777777" w:rsidR="003929DA" w:rsidRDefault="00032BAF">
      <w:pPr>
        <w:rPr>
          <w:b/>
          <w:bCs/>
          <w:lang w:val="el-GR"/>
        </w:rPr>
      </w:pPr>
      <w:r>
        <w:rPr>
          <w:b/>
          <w:color w:val="000000"/>
          <w:lang w:val="el-GR"/>
        </w:rPr>
        <w:lastRenderedPageBreak/>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82"/>
      </w:r>
      <w:r w:rsidR="003929DA">
        <w:rPr>
          <w:color w:val="000000"/>
          <w:lang w:val="el-GR"/>
        </w:rPr>
        <w:t>.</w:t>
      </w: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284C0D42"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3"/>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58CB9914" w14:textId="77777777" w:rsidR="006C3ED8" w:rsidRDefault="003929DA" w:rsidP="006C3ED8">
      <w:pPr>
        <w:rPr>
          <w:lang w:val="el-GR"/>
        </w:rPr>
      </w:pPr>
      <w:r w:rsidRPr="00FD3A4C">
        <w:rPr>
          <w:b/>
          <w:bCs/>
          <w:lang w:val="el-GR"/>
        </w:rPr>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Pr="00FD3A4C">
        <w:rPr>
          <w:rStyle w:val="FootnoteReference2"/>
          <w:szCs w:val="22"/>
        </w:rPr>
        <w:footnoteReference w:id="84"/>
      </w:r>
      <w:r w:rsidRPr="00FD3A4C">
        <w:rPr>
          <w:lang w:val="el-GR"/>
        </w:rPr>
        <w:t xml:space="preserve"> </w:t>
      </w:r>
    </w:p>
    <w:p w14:paraId="40570782" w14:textId="4C6CECE3" w:rsidR="006C3ED8" w:rsidRPr="006C3ED8" w:rsidRDefault="006C3ED8" w:rsidP="006C3ED8">
      <w:pPr>
        <w:rPr>
          <w:lang w:val="el-GR"/>
        </w:rPr>
      </w:pPr>
      <w:r w:rsidRPr="006C3ED8">
        <w:rPr>
          <w:lang w:val="el-GR"/>
        </w:rPr>
        <w:t xml:space="preserve">γενικό  ετήσιο κύκλο εργασιών  </w:t>
      </w:r>
      <w:r w:rsidR="00FD223B" w:rsidRPr="00FD223B">
        <w:rPr>
          <w:lang w:val="el-GR"/>
        </w:rPr>
        <w:t xml:space="preserve">(100% του προϋπολογισμού του έργου ) </w:t>
      </w:r>
      <w:r w:rsidRPr="006C3ED8">
        <w:rPr>
          <w:lang w:val="el-GR"/>
        </w:rPr>
        <w:t>για τα ακόλουθα έτη:</w:t>
      </w:r>
    </w:p>
    <w:p w14:paraId="65C7CE15" w14:textId="77777777" w:rsidR="006C3ED8" w:rsidRPr="006C3ED8" w:rsidRDefault="006C3ED8" w:rsidP="006C3ED8">
      <w:pPr>
        <w:rPr>
          <w:lang w:val="el-GR"/>
        </w:rPr>
      </w:pPr>
      <w:r w:rsidRPr="006C3ED8">
        <w:rPr>
          <w:lang w:val="el-GR"/>
        </w:rPr>
        <w:t>4.</w:t>
      </w:r>
      <w:r w:rsidRPr="006C3ED8">
        <w:rPr>
          <w:lang w:val="el-GR"/>
        </w:rPr>
        <w:tab/>
        <w:t>έτος (2020) κύκλος εργασιών (.............) νόμισμα (ευρώ)</w:t>
      </w:r>
    </w:p>
    <w:p w14:paraId="3D39DCE3" w14:textId="77777777" w:rsidR="006C3ED8" w:rsidRPr="006C3ED8" w:rsidRDefault="006C3ED8" w:rsidP="006C3ED8">
      <w:pPr>
        <w:rPr>
          <w:lang w:val="el-GR"/>
        </w:rPr>
      </w:pPr>
      <w:r w:rsidRPr="006C3ED8">
        <w:rPr>
          <w:lang w:val="el-GR"/>
        </w:rPr>
        <w:t>5.</w:t>
      </w:r>
      <w:r w:rsidRPr="006C3ED8">
        <w:rPr>
          <w:lang w:val="el-GR"/>
        </w:rPr>
        <w:tab/>
        <w:t>έτος (2021) κύκλος εργασιών (.............) νόμισμα (ευρώ)</w:t>
      </w:r>
    </w:p>
    <w:p w14:paraId="6FDBC176" w14:textId="77777777" w:rsidR="006C3ED8" w:rsidRPr="006C3ED8" w:rsidRDefault="006C3ED8" w:rsidP="006C3ED8">
      <w:pPr>
        <w:rPr>
          <w:lang w:val="el-GR"/>
        </w:rPr>
      </w:pPr>
      <w:r w:rsidRPr="006C3ED8">
        <w:rPr>
          <w:lang w:val="el-GR"/>
        </w:rPr>
        <w:t>6.</w:t>
      </w:r>
      <w:r w:rsidRPr="006C3ED8">
        <w:rPr>
          <w:lang w:val="el-GR"/>
        </w:rPr>
        <w:tab/>
        <w:t xml:space="preserve">έτος (2022) κύκλος εργασιών (.............) νόμισμα (ευρώ) </w:t>
      </w:r>
    </w:p>
    <w:p w14:paraId="5CE5E8E2" w14:textId="77777777" w:rsidR="006C3ED8" w:rsidRPr="006C3ED8" w:rsidRDefault="006C3ED8" w:rsidP="006C3ED8">
      <w:pPr>
        <w:rPr>
          <w:lang w:val="el-GR"/>
        </w:rPr>
      </w:pPr>
      <w:r w:rsidRPr="006C3ED8">
        <w:rPr>
          <w:lang w:val="el-GR"/>
        </w:rPr>
        <w:t xml:space="preserve">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w:t>
      </w:r>
      <w:r w:rsidR="001C3E1B" w:rsidRPr="006C3ED8">
        <w:rPr>
          <w:lang w:val="el-GR"/>
        </w:rPr>
        <w:t xml:space="preserve"> </w:t>
      </w:r>
    </w:p>
    <w:p w14:paraId="518D6B06" w14:textId="77777777" w:rsidR="006C3ED8" w:rsidRDefault="003929DA" w:rsidP="006C3ED8">
      <w:pPr>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w:t>
      </w:r>
      <w:r w:rsidR="006C10B8">
        <w:rPr>
          <w:lang w:val="el-GR"/>
        </w:rPr>
        <w:t>υν:</w:t>
      </w:r>
      <w:r>
        <w:rPr>
          <w:rStyle w:val="FootnoteReference2"/>
          <w:szCs w:val="22"/>
        </w:rPr>
        <w:footnoteReference w:id="85"/>
      </w:r>
      <w:r w:rsidR="00E10C71">
        <w:rPr>
          <w:lang w:val="el-GR"/>
        </w:rPr>
        <w:t xml:space="preserve"> </w:t>
      </w:r>
    </w:p>
    <w:p w14:paraId="3F8009E2" w14:textId="77777777" w:rsidR="006C3ED8" w:rsidRDefault="006C3ED8" w:rsidP="006C3ED8">
      <w:pPr>
        <w:rPr>
          <w:lang w:val="el-GR"/>
        </w:rPr>
      </w:pPr>
    </w:p>
    <w:p w14:paraId="2E0803D6" w14:textId="77777777" w:rsidR="006C3ED8" w:rsidRDefault="006C3ED8" w:rsidP="006C3ED8">
      <w:pPr>
        <w:rPr>
          <w:lang w:val="el-GR"/>
        </w:rPr>
      </w:pPr>
    </w:p>
    <w:p w14:paraId="712D7A65" w14:textId="394FA52A" w:rsidR="006C3ED8" w:rsidRPr="006C3ED8" w:rsidRDefault="006C3ED8" w:rsidP="006C3ED8">
      <w:pPr>
        <w:rPr>
          <w:lang w:val="el-GR"/>
        </w:rPr>
      </w:pPr>
      <w:r w:rsidRPr="006C3ED8">
        <w:rPr>
          <w:lang w:val="el-GR"/>
        </w:rPr>
        <w:lastRenderedPageBreak/>
        <w:t>α) κατά τη διάρκεια των τριών ετών (2020,2021, 2022)  , να έχουν εκτελέσει συμβάσεις προμηθειών  του συγκεκριμένου τύπου.</w:t>
      </w:r>
    </w:p>
    <w:p w14:paraId="78BD6754" w14:textId="77777777" w:rsidR="006C3ED8" w:rsidRPr="006C3ED8" w:rsidRDefault="006C3ED8" w:rsidP="006C3ED8">
      <w:pPr>
        <w:rPr>
          <w:lang w:val="el-GR"/>
        </w:rPr>
      </w:pPr>
      <w:r w:rsidRPr="006C3ED8">
        <w:rPr>
          <w:lang w:val="el-GR"/>
        </w:rPr>
        <w:t xml:space="preserve">β) να διαθέτουν το απαιτούμενο τεχνικό προσωπικό </w:t>
      </w:r>
    </w:p>
    <w:p w14:paraId="1531FE6D" w14:textId="77777777" w:rsidR="006C3ED8" w:rsidRPr="006C3ED8" w:rsidRDefault="006C3ED8" w:rsidP="006C3ED8">
      <w:pPr>
        <w:rPr>
          <w:lang w:val="el-GR"/>
        </w:rPr>
      </w:pPr>
      <w:r w:rsidRPr="006C3ED8">
        <w:rPr>
          <w:lang w:val="el-GR"/>
        </w:rPr>
        <w:t xml:space="preserve">γ) να διαθέτουν την απαιτούμενη τεχνογνωσία, εμπειρία </w:t>
      </w:r>
    </w:p>
    <w:p w14:paraId="700146F6" w14:textId="77777777" w:rsidR="006C3ED8" w:rsidRPr="006C3ED8" w:rsidRDefault="006C3ED8" w:rsidP="006C3ED8">
      <w:pPr>
        <w:rPr>
          <w:lang w:val="el-GR"/>
        </w:rPr>
      </w:pPr>
      <w:r w:rsidRPr="006C3ED8">
        <w:rPr>
          <w:lang w:val="el-GR"/>
        </w:rPr>
        <w:t xml:space="preserve">δ) να διαθέτουν τον τεχνικό εξοπλισμό και να λαμβάνουν μέτρα για την εξασφάλιση της ποιότητας , τα οποία θα αξιολογηθούν. </w:t>
      </w:r>
    </w:p>
    <w:p w14:paraId="0F1F743B" w14:textId="43DC8C5E" w:rsidR="003929DA" w:rsidRPr="0075659A" w:rsidRDefault="006C3ED8" w:rsidP="006C3ED8">
      <w:pPr>
        <w:rPr>
          <w:i/>
          <w:color w:val="4472C4"/>
          <w:lang w:val="el-GR"/>
        </w:rPr>
      </w:pPr>
      <w:r w:rsidRPr="006C3ED8">
        <w:rPr>
          <w:i/>
          <w:color w:val="4472C4"/>
          <w:lang w:val="el-GR"/>
        </w:rPr>
        <w:t xml:space="preserve"> </w:t>
      </w:r>
      <w:r w:rsidR="003929DA" w:rsidRPr="00FD3A4C">
        <w:rPr>
          <w:b/>
          <w:bCs/>
          <w:lang w:val="el-GR"/>
        </w:rPr>
        <w:t xml:space="preserve">Β.5. </w:t>
      </w:r>
      <w:r w:rsidR="003929DA" w:rsidRPr="00FD3A4C">
        <w:rPr>
          <w:lang w:val="el-GR"/>
        </w:rPr>
        <w:t xml:space="preserve">Για την απόδειξη της συμμόρφωσής τους με </w:t>
      </w:r>
      <w:r w:rsidR="003929DA" w:rsidRPr="00FD3A4C">
        <w:rPr>
          <w:color w:val="000000"/>
          <w:lang w:val="el-GR"/>
        </w:rPr>
        <w:t>πρότυπα διασφάλισης ποιότητας και πρότυπα περιβαλλοντικής διαχείρισης</w:t>
      </w:r>
      <w:r w:rsidR="003929DA" w:rsidRPr="00FD3A4C">
        <w:rPr>
          <w:lang w:val="el-GR"/>
        </w:rPr>
        <w:t xml:space="preserve"> της παραγράφου 2.2.7 οι οικονομικοί φορείς προσκομίζουν τα  πιστοποιητικά</w:t>
      </w:r>
      <w:r w:rsidR="0075659A" w:rsidRPr="0075659A">
        <w:rPr>
          <w:lang w:val="el-GR"/>
        </w:rPr>
        <w:t xml:space="preserve"> </w:t>
      </w:r>
      <w:r w:rsidR="0075659A">
        <w:rPr>
          <w:lang w:val="el-GR"/>
        </w:rPr>
        <w:t xml:space="preserve">που αναφέρονται στις τεχνικές </w:t>
      </w:r>
      <w:proofErr w:type="spellStart"/>
      <w:r w:rsidR="0075659A">
        <w:rPr>
          <w:lang w:val="el-GR"/>
        </w:rPr>
        <w:t>προδιγραφές</w:t>
      </w:r>
      <w:proofErr w:type="spellEnd"/>
      <w:r w:rsidR="0075659A">
        <w:rPr>
          <w:lang w:val="el-GR"/>
        </w:rPr>
        <w:t xml:space="preserve"> στο ΠΑΡΑΡΤΗΜΑ Ι.</w:t>
      </w:r>
    </w:p>
    <w:p w14:paraId="44BAC4B7"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1D4BC4">
        <w:rPr>
          <w:rStyle w:val="ad"/>
          <w:lang w:val="el-GR"/>
        </w:rPr>
        <w:footnoteReference w:id="86"/>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87"/>
      </w:r>
      <w:r w:rsidRPr="00374B84">
        <w:rPr>
          <w:lang w:val="el-GR"/>
        </w:rPr>
        <w:t xml:space="preserve">,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lastRenderedPageBreak/>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88"/>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proofErr w:type="gramStart"/>
      <w:r w:rsidR="00921AC1">
        <w:rPr>
          <w:color w:val="000000"/>
          <w:lang w:val="en-US"/>
        </w:rPr>
        <w:t>i</w:t>
      </w:r>
      <w:proofErr w:type="spellEnd"/>
      <w:proofErr w:type="gram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 xml:space="preserve">της </w:t>
      </w:r>
      <w:proofErr w:type="spellStart"/>
      <w:r w:rsidR="00921AC1">
        <w:rPr>
          <w:color w:val="000000"/>
          <w:lang w:val="el-GR"/>
        </w:rPr>
        <w:t>περ</w:t>
      </w:r>
      <w:proofErr w:type="spellEnd"/>
      <w:r w:rsidR="00921AC1">
        <w:rPr>
          <w:color w:val="000000"/>
          <w:lang w:val="el-GR"/>
        </w:rPr>
        <w:t>.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lastRenderedPageBreak/>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72598F1" w14:textId="505916ED"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28694712" w14:textId="04D16648" w:rsidR="003929DA" w:rsidRDefault="003929DA">
      <w:pPr>
        <w:rPr>
          <w:color w:val="000000"/>
          <w:lang w:val="el-GR"/>
        </w:rPr>
      </w:pP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Pr>
          <w:color w:val="000000"/>
          <w:lang w:val="el-GR"/>
        </w:rPr>
        <w:t>,</w:t>
      </w:r>
      <w:r w:rsidR="005D11ED" w:rsidRPr="00BD65F6">
        <w:rPr>
          <w:lang w:val="el-GR"/>
        </w:rPr>
        <w:t xml:space="preserve"> </w:t>
      </w:r>
      <w:r w:rsidR="005D11ED" w:rsidRPr="005D11ED">
        <w:rPr>
          <w:color w:val="000000"/>
          <w:lang w:val="el-GR"/>
        </w:rPr>
        <w:t xml:space="preserve">δηλώνοντας το τμήμα της σύμβασης που θα εκτελέσει. </w:t>
      </w:r>
    </w:p>
    <w:p w14:paraId="69D83821"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33" w:name="_Toc129004422"/>
      <w:r>
        <w:rPr>
          <w:lang w:val="el-GR"/>
        </w:rPr>
        <w:t>2.3</w:t>
      </w:r>
      <w:r>
        <w:rPr>
          <w:lang w:val="el-GR"/>
        </w:rPr>
        <w:tab/>
        <w:t>Κριτήρια Ανάθεσης</w:t>
      </w:r>
      <w:bookmarkEnd w:id="33"/>
      <w:r>
        <w:rPr>
          <w:lang w:val="el-GR"/>
        </w:rPr>
        <w:t xml:space="preserve">  </w:t>
      </w:r>
    </w:p>
    <w:p w14:paraId="7D8A6062" w14:textId="77777777" w:rsidR="003929DA" w:rsidRDefault="003929DA">
      <w:pPr>
        <w:pStyle w:val="3"/>
        <w:rPr>
          <w:lang w:val="el-GR"/>
        </w:rPr>
      </w:pPr>
      <w:bookmarkStart w:id="34" w:name="_Toc129004423"/>
      <w:r>
        <w:rPr>
          <w:lang w:val="el-GR"/>
        </w:rPr>
        <w:t>2.3.1</w:t>
      </w:r>
      <w:r>
        <w:rPr>
          <w:lang w:val="el-GR"/>
        </w:rPr>
        <w:tab/>
        <w:t>Κριτήριο ανάθεσης</w:t>
      </w:r>
      <w:r>
        <w:rPr>
          <w:rStyle w:val="WW-FootnoteReference7"/>
          <w:lang w:val="el-GR"/>
        </w:rPr>
        <w:footnoteReference w:id="89"/>
      </w:r>
      <w:bookmarkEnd w:id="34"/>
      <w:r>
        <w:rPr>
          <w:lang w:val="el-GR"/>
        </w:rPr>
        <w:t xml:space="preserve"> </w:t>
      </w:r>
    </w:p>
    <w:p w14:paraId="40A07A4D" w14:textId="77777777" w:rsidR="003929DA" w:rsidRDefault="003929DA">
      <w:pPr>
        <w:rPr>
          <w:i/>
          <w:color w:val="5B9BD5"/>
          <w:lang w:val="el-GR"/>
        </w:rPr>
      </w:pPr>
      <w:r>
        <w:rPr>
          <w:lang w:val="el-GR"/>
        </w:rPr>
        <w:t>Κριτήριο ανάθεσης</w:t>
      </w:r>
      <w:r>
        <w:rPr>
          <w:rStyle w:val="WW-FootnoteReference7"/>
          <w:lang w:val="el-GR"/>
        </w:rPr>
        <w:footnoteReference w:id="90"/>
      </w:r>
      <w:r>
        <w:rPr>
          <w:lang w:val="el-GR"/>
        </w:rPr>
        <w:t xml:space="preserve"> της Σύμβασης είναι η πλέον συμφέρουσα από οικονομική άποψη προσφορά:</w:t>
      </w:r>
    </w:p>
    <w:p w14:paraId="3FB424FA" w14:textId="633C2E92" w:rsidR="003929DA" w:rsidRDefault="003929DA">
      <w:pPr>
        <w:rPr>
          <w:lang w:val="el-GR"/>
        </w:rPr>
      </w:pPr>
      <w:r>
        <w:rPr>
          <w:lang w:val="el-GR"/>
        </w:rPr>
        <w:t xml:space="preserve"> βάσει βέλτιστης σχέσης ποιότητας – τιμής</w:t>
      </w:r>
      <w:r>
        <w:rPr>
          <w:rStyle w:val="WW-FootnoteReference7"/>
          <w:lang w:val="el-GR"/>
        </w:rPr>
        <w:footnoteReference w:id="91"/>
      </w:r>
      <w:r>
        <w:rPr>
          <w:lang w:val="el-GR"/>
        </w:rPr>
        <w:t xml:space="preserve">, η οποία εκτιμάται βάσει των κάτωθι κριτηρίων: </w:t>
      </w:r>
    </w:p>
    <w:p w14:paraId="079FB422" w14:textId="77777777" w:rsidR="00C86F55" w:rsidRPr="00C86F55" w:rsidRDefault="00C86F55" w:rsidP="00C86F55">
      <w:pPr>
        <w:keepNext/>
        <w:keepLines/>
        <w:suppressAutoHyphens w:val="0"/>
        <w:spacing w:after="0" w:line="259" w:lineRule="auto"/>
        <w:ind w:left="195" w:hanging="10"/>
        <w:outlineLvl w:val="0"/>
        <w:rPr>
          <w:rFonts w:eastAsia="Arial"/>
          <w:b/>
          <w:color w:val="000000"/>
          <w:sz w:val="24"/>
          <w:u w:val="single" w:color="000000"/>
          <w:lang w:val="el-GR" w:eastAsia="el-GR"/>
        </w:rPr>
      </w:pPr>
      <w:r w:rsidRPr="00C86F55">
        <w:rPr>
          <w:rFonts w:eastAsia="Arial"/>
          <w:b/>
          <w:color w:val="000000"/>
          <w:sz w:val="24"/>
          <w:u w:val="single" w:color="000000"/>
          <w:lang w:val="el-GR" w:eastAsia="el-GR"/>
        </w:rPr>
        <w:lastRenderedPageBreak/>
        <w:t xml:space="preserve">ΑΞΙΟΛΟΓΗΣΗΣ </w:t>
      </w:r>
      <w:r w:rsidRPr="00C86F55">
        <w:rPr>
          <w:rFonts w:eastAsia="Arial"/>
          <w:b/>
          <w:noProof/>
          <w:color w:val="000000"/>
          <w:sz w:val="24"/>
          <w:u w:val="single" w:color="000000"/>
          <w:lang w:val="el-GR" w:eastAsia="el-GR"/>
        </w:rPr>
        <w:drawing>
          <wp:inline distT="0" distB="0" distL="0" distR="0" wp14:anchorId="2F95988E" wp14:editId="190A4F9D">
            <wp:extent cx="1459992" cy="274320"/>
            <wp:effectExtent l="0" t="0" r="0" b="0"/>
            <wp:docPr id="1" name="Picture 37959"/>
            <wp:cNvGraphicFramePr/>
            <a:graphic xmlns:a="http://schemas.openxmlformats.org/drawingml/2006/main">
              <a:graphicData uri="http://schemas.openxmlformats.org/drawingml/2006/picture">
                <pic:pic xmlns:pic="http://schemas.openxmlformats.org/drawingml/2006/picture">
                  <pic:nvPicPr>
                    <pic:cNvPr id="37959" name="Picture 37959"/>
                    <pic:cNvPicPr/>
                  </pic:nvPicPr>
                  <pic:blipFill>
                    <a:blip r:embed="rId14" cstate="print"/>
                    <a:stretch>
                      <a:fillRect/>
                    </a:stretch>
                  </pic:blipFill>
                  <pic:spPr>
                    <a:xfrm>
                      <a:off x="0" y="0"/>
                      <a:ext cx="1459992" cy="274320"/>
                    </a:xfrm>
                    <a:prstGeom prst="rect">
                      <a:avLst/>
                    </a:prstGeom>
                  </pic:spPr>
                </pic:pic>
              </a:graphicData>
            </a:graphic>
          </wp:inline>
        </w:drawing>
      </w:r>
      <w:r w:rsidRPr="00C86F55">
        <w:rPr>
          <w:rFonts w:eastAsia="Arial"/>
          <w:b/>
          <w:color w:val="000000"/>
          <w:sz w:val="24"/>
          <w:u w:val="single" w:color="000000"/>
          <w:lang w:val="el-GR" w:eastAsia="el-GR"/>
        </w:rPr>
        <w:t xml:space="preserve"> ΠΡΟΣΦΟΡΩΝ</w:t>
      </w:r>
      <w:r w:rsidRPr="00C86F55">
        <w:rPr>
          <w:rFonts w:eastAsia="Arial"/>
          <w:b/>
          <w:color w:val="000000"/>
          <w:sz w:val="24"/>
          <w:u w:color="000000"/>
          <w:lang w:val="el-GR" w:eastAsia="el-GR"/>
        </w:rPr>
        <w:t xml:space="preserve"> </w:t>
      </w:r>
    </w:p>
    <w:p w14:paraId="14CE2318" w14:textId="77777777" w:rsidR="00C86F55" w:rsidRPr="00C86F55" w:rsidRDefault="00C86F55" w:rsidP="00C86F55">
      <w:pPr>
        <w:suppressAutoHyphens w:val="0"/>
        <w:spacing w:after="0" w:line="259" w:lineRule="auto"/>
        <w:rPr>
          <w:sz w:val="24"/>
          <w:lang w:val="el-GR" w:eastAsia="el-GR"/>
        </w:rPr>
      </w:pPr>
      <w:r w:rsidRPr="00C86F55">
        <w:rPr>
          <w:b/>
          <w:sz w:val="24"/>
          <w:lang w:val="el-GR" w:eastAsia="el-GR"/>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6378"/>
        <w:gridCol w:w="1826"/>
      </w:tblGrid>
      <w:tr w:rsidR="00C86F55" w:rsidRPr="00C86F55" w14:paraId="7D714CE9" w14:textId="77777777" w:rsidTr="0075659A">
        <w:trPr>
          <w:jc w:val="center"/>
        </w:trPr>
        <w:tc>
          <w:tcPr>
            <w:tcW w:w="9606" w:type="dxa"/>
            <w:gridSpan w:val="3"/>
            <w:shd w:val="clear" w:color="auto" w:fill="auto"/>
            <w:vAlign w:val="center"/>
          </w:tcPr>
          <w:p w14:paraId="4324FFAC" w14:textId="77777777" w:rsidR="00C86F55" w:rsidRPr="00C86F55" w:rsidRDefault="00C86F55" w:rsidP="00C86F55">
            <w:pPr>
              <w:suppressAutoHyphens w:val="0"/>
              <w:spacing w:after="0"/>
              <w:jc w:val="center"/>
              <w:rPr>
                <w:rFonts w:eastAsia="Cambria" w:cs="Times New Roman"/>
                <w:color w:val="0000FF"/>
                <w:sz w:val="24"/>
                <w:lang w:val="el-GR" w:eastAsia="el-GR"/>
              </w:rPr>
            </w:pPr>
            <w:r w:rsidRPr="00C86F55">
              <w:rPr>
                <w:rFonts w:eastAsia="Cambria" w:cs="Times New Roman"/>
                <w:color w:val="0000FF"/>
                <w:szCs w:val="22"/>
                <w:lang w:val="el-GR" w:eastAsia="el-GR"/>
              </w:rPr>
              <w:t xml:space="preserve">Πίνακας κριτηρίων αξιολόγησης προσφορών </w:t>
            </w:r>
          </w:p>
        </w:tc>
      </w:tr>
      <w:tr w:rsidR="00C86F55" w:rsidRPr="00C86F55" w14:paraId="24BE0D6B" w14:textId="77777777" w:rsidTr="0075659A">
        <w:trPr>
          <w:jc w:val="center"/>
        </w:trPr>
        <w:tc>
          <w:tcPr>
            <w:tcW w:w="1402" w:type="dxa"/>
            <w:shd w:val="clear" w:color="auto" w:fill="auto"/>
            <w:vAlign w:val="center"/>
          </w:tcPr>
          <w:p w14:paraId="7EA08844"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ΚΡΙΤΗΡΙΟ</w:t>
            </w:r>
          </w:p>
        </w:tc>
        <w:tc>
          <w:tcPr>
            <w:tcW w:w="6378" w:type="dxa"/>
            <w:shd w:val="clear" w:color="auto" w:fill="auto"/>
            <w:vAlign w:val="center"/>
          </w:tcPr>
          <w:p w14:paraId="6F98A232" w14:textId="77777777" w:rsidR="00C86F55" w:rsidRPr="00C86F55" w:rsidRDefault="00C86F55" w:rsidP="00C86F55">
            <w:pPr>
              <w:suppressAutoHyphens w:val="0"/>
              <w:spacing w:after="0"/>
              <w:jc w:val="left"/>
              <w:rPr>
                <w:rFonts w:eastAsia="Cambria" w:cs="Times New Roman"/>
                <w:sz w:val="24"/>
                <w:lang w:val="el-GR" w:eastAsia="el-GR"/>
              </w:rPr>
            </w:pPr>
            <w:r w:rsidRPr="00C86F55">
              <w:rPr>
                <w:rFonts w:eastAsia="Cambria" w:cs="Times New Roman"/>
                <w:sz w:val="24"/>
                <w:lang w:val="el-GR" w:eastAsia="el-GR"/>
              </w:rPr>
              <w:t>ΠΕΡΙΓΡΑΦΗ</w:t>
            </w:r>
          </w:p>
        </w:tc>
        <w:tc>
          <w:tcPr>
            <w:tcW w:w="1826" w:type="dxa"/>
            <w:shd w:val="clear" w:color="auto" w:fill="auto"/>
            <w:vAlign w:val="center"/>
          </w:tcPr>
          <w:p w14:paraId="4D933DFE"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ΣΥΝΤΕΛΕΣΤΗΣ ΒΑΡΥΤΗΤΑΣ (%)</w:t>
            </w:r>
          </w:p>
        </w:tc>
      </w:tr>
      <w:tr w:rsidR="00C86F55" w:rsidRPr="00C86F55" w14:paraId="19E987F5" w14:textId="77777777" w:rsidTr="0075659A">
        <w:trPr>
          <w:jc w:val="center"/>
        </w:trPr>
        <w:tc>
          <w:tcPr>
            <w:tcW w:w="9606" w:type="dxa"/>
            <w:gridSpan w:val="3"/>
            <w:shd w:val="clear" w:color="auto" w:fill="auto"/>
            <w:vAlign w:val="center"/>
          </w:tcPr>
          <w:p w14:paraId="2A159B0A"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ΟΜΑΔΑ Α</w:t>
            </w:r>
            <w:r w:rsidRPr="00C86F55">
              <w:rPr>
                <w:rFonts w:eastAsia="Cambria" w:cs="Times New Roman"/>
                <w:color w:val="0000FF"/>
                <w:sz w:val="24"/>
                <w:lang w:val="en-US" w:eastAsia="el-GR"/>
              </w:rPr>
              <w:t>:</w:t>
            </w:r>
            <w:r w:rsidRPr="00C86F55">
              <w:rPr>
                <w:rFonts w:eastAsia="Cambria" w:cs="Times New Roman"/>
                <w:color w:val="0000FF"/>
                <w:sz w:val="24"/>
                <w:lang w:val="el-GR" w:eastAsia="el-GR"/>
              </w:rPr>
              <w:t xml:space="preserve">   ΠΛΑΙΣΙΟ </w:t>
            </w:r>
          </w:p>
        </w:tc>
      </w:tr>
      <w:tr w:rsidR="00C86F55" w:rsidRPr="00C86F55" w14:paraId="31D26A57" w14:textId="77777777" w:rsidTr="0075659A">
        <w:trPr>
          <w:jc w:val="center"/>
        </w:trPr>
        <w:tc>
          <w:tcPr>
            <w:tcW w:w="1402" w:type="dxa"/>
            <w:shd w:val="clear" w:color="auto" w:fill="auto"/>
            <w:vAlign w:val="center"/>
          </w:tcPr>
          <w:p w14:paraId="2F1173C2"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w:t>
            </w:r>
          </w:p>
        </w:tc>
        <w:tc>
          <w:tcPr>
            <w:tcW w:w="6378" w:type="dxa"/>
            <w:shd w:val="clear" w:color="auto" w:fill="auto"/>
            <w:vAlign w:val="center"/>
          </w:tcPr>
          <w:p w14:paraId="4B92A454" w14:textId="77777777" w:rsidR="00C86F55" w:rsidRPr="00C86F55" w:rsidRDefault="00C86F55" w:rsidP="00C86F55">
            <w:pPr>
              <w:suppressAutoHyphens w:val="0"/>
              <w:spacing w:after="0"/>
              <w:rPr>
                <w:rFonts w:eastAsia="Cambria" w:cs="Times New Roman"/>
                <w:sz w:val="24"/>
                <w:lang w:val="el-GR" w:eastAsia="el-GR"/>
              </w:rPr>
            </w:pPr>
            <w:r w:rsidRPr="00C86F55">
              <w:rPr>
                <w:rFonts w:eastAsia="Cambria" w:cs="Times New Roman"/>
                <w:color w:val="000000"/>
                <w:sz w:val="24"/>
                <w:lang w:val="el-GR" w:eastAsia="el-GR"/>
              </w:rPr>
              <w:t>Ωφέλιμο Φορτίο</w:t>
            </w:r>
          </w:p>
        </w:tc>
        <w:tc>
          <w:tcPr>
            <w:tcW w:w="1826" w:type="dxa"/>
            <w:shd w:val="clear" w:color="auto" w:fill="auto"/>
            <w:vAlign w:val="center"/>
          </w:tcPr>
          <w:p w14:paraId="53B715F6"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w:t>
            </w:r>
          </w:p>
        </w:tc>
      </w:tr>
      <w:tr w:rsidR="00C86F55" w:rsidRPr="00C86F55" w14:paraId="4BBA1C22" w14:textId="77777777" w:rsidTr="0075659A">
        <w:trPr>
          <w:jc w:val="center"/>
        </w:trPr>
        <w:tc>
          <w:tcPr>
            <w:tcW w:w="1402" w:type="dxa"/>
            <w:shd w:val="clear" w:color="auto" w:fill="auto"/>
            <w:vAlign w:val="center"/>
          </w:tcPr>
          <w:p w14:paraId="70465BA0"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Κ2</w:t>
            </w:r>
          </w:p>
        </w:tc>
        <w:tc>
          <w:tcPr>
            <w:tcW w:w="6378" w:type="dxa"/>
            <w:shd w:val="clear" w:color="auto" w:fill="auto"/>
          </w:tcPr>
          <w:p w14:paraId="56360907"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Ισχύς και Ροπή Στρέψης Κινητήρα</w:t>
            </w:r>
          </w:p>
        </w:tc>
        <w:tc>
          <w:tcPr>
            <w:tcW w:w="1826" w:type="dxa"/>
            <w:shd w:val="clear" w:color="auto" w:fill="auto"/>
            <w:vAlign w:val="center"/>
          </w:tcPr>
          <w:p w14:paraId="72052DC7"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29FE1425" w14:textId="77777777" w:rsidTr="0075659A">
        <w:trPr>
          <w:jc w:val="center"/>
        </w:trPr>
        <w:tc>
          <w:tcPr>
            <w:tcW w:w="1402" w:type="dxa"/>
            <w:shd w:val="clear" w:color="auto" w:fill="auto"/>
            <w:vAlign w:val="center"/>
          </w:tcPr>
          <w:p w14:paraId="3DD63378"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Κ3</w:t>
            </w:r>
          </w:p>
        </w:tc>
        <w:tc>
          <w:tcPr>
            <w:tcW w:w="6378" w:type="dxa"/>
            <w:shd w:val="clear" w:color="auto" w:fill="auto"/>
          </w:tcPr>
          <w:p w14:paraId="5D816ABE"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Όρια Εκπομπών (Καυσαέρια – Θόρυβος)</w:t>
            </w:r>
          </w:p>
        </w:tc>
        <w:tc>
          <w:tcPr>
            <w:tcW w:w="1826" w:type="dxa"/>
            <w:shd w:val="clear" w:color="auto" w:fill="auto"/>
            <w:vAlign w:val="center"/>
          </w:tcPr>
          <w:p w14:paraId="48E8E74B"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36B59C96" w14:textId="77777777" w:rsidTr="0075659A">
        <w:trPr>
          <w:jc w:val="center"/>
        </w:trPr>
        <w:tc>
          <w:tcPr>
            <w:tcW w:w="1402" w:type="dxa"/>
            <w:shd w:val="clear" w:color="auto" w:fill="auto"/>
            <w:vAlign w:val="center"/>
          </w:tcPr>
          <w:p w14:paraId="13579880"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Κ4</w:t>
            </w:r>
          </w:p>
        </w:tc>
        <w:tc>
          <w:tcPr>
            <w:tcW w:w="6378" w:type="dxa"/>
            <w:shd w:val="clear" w:color="auto" w:fill="auto"/>
          </w:tcPr>
          <w:p w14:paraId="22821DCD"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Σύστημα Μετάδοσης κίνησης</w:t>
            </w:r>
          </w:p>
        </w:tc>
        <w:tc>
          <w:tcPr>
            <w:tcW w:w="1826" w:type="dxa"/>
            <w:shd w:val="clear" w:color="auto" w:fill="auto"/>
            <w:vAlign w:val="center"/>
          </w:tcPr>
          <w:p w14:paraId="74BDF6E5"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7BACB946" w14:textId="77777777" w:rsidTr="0075659A">
        <w:trPr>
          <w:jc w:val="center"/>
        </w:trPr>
        <w:tc>
          <w:tcPr>
            <w:tcW w:w="1402" w:type="dxa"/>
            <w:shd w:val="clear" w:color="auto" w:fill="auto"/>
            <w:vAlign w:val="center"/>
          </w:tcPr>
          <w:p w14:paraId="704507D2"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Κ5</w:t>
            </w:r>
          </w:p>
        </w:tc>
        <w:tc>
          <w:tcPr>
            <w:tcW w:w="6378" w:type="dxa"/>
            <w:shd w:val="clear" w:color="auto" w:fill="auto"/>
          </w:tcPr>
          <w:p w14:paraId="234A019F"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Σύστημα πέδησης</w:t>
            </w:r>
          </w:p>
        </w:tc>
        <w:tc>
          <w:tcPr>
            <w:tcW w:w="1826" w:type="dxa"/>
            <w:shd w:val="clear" w:color="auto" w:fill="auto"/>
            <w:vAlign w:val="center"/>
          </w:tcPr>
          <w:p w14:paraId="692CEDD3"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7365EB64" w14:textId="77777777" w:rsidTr="0075659A">
        <w:trPr>
          <w:jc w:val="center"/>
        </w:trPr>
        <w:tc>
          <w:tcPr>
            <w:tcW w:w="1402" w:type="dxa"/>
            <w:shd w:val="clear" w:color="auto" w:fill="auto"/>
            <w:vAlign w:val="center"/>
          </w:tcPr>
          <w:p w14:paraId="2C4CBBC6"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Κ6</w:t>
            </w:r>
          </w:p>
        </w:tc>
        <w:tc>
          <w:tcPr>
            <w:tcW w:w="6378" w:type="dxa"/>
            <w:shd w:val="clear" w:color="auto" w:fill="auto"/>
          </w:tcPr>
          <w:p w14:paraId="16CC72D3"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Σύστημα Κύλισης</w:t>
            </w:r>
          </w:p>
        </w:tc>
        <w:tc>
          <w:tcPr>
            <w:tcW w:w="1826" w:type="dxa"/>
            <w:shd w:val="clear" w:color="auto" w:fill="auto"/>
            <w:vAlign w:val="center"/>
          </w:tcPr>
          <w:p w14:paraId="3C5DBE9A"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0774CF41" w14:textId="77777777" w:rsidTr="0075659A">
        <w:trPr>
          <w:jc w:val="center"/>
        </w:trPr>
        <w:tc>
          <w:tcPr>
            <w:tcW w:w="1402" w:type="dxa"/>
            <w:shd w:val="clear" w:color="auto" w:fill="auto"/>
            <w:vAlign w:val="center"/>
          </w:tcPr>
          <w:p w14:paraId="2804462D"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Κ7</w:t>
            </w:r>
          </w:p>
        </w:tc>
        <w:tc>
          <w:tcPr>
            <w:tcW w:w="6378" w:type="dxa"/>
            <w:shd w:val="clear" w:color="auto" w:fill="auto"/>
          </w:tcPr>
          <w:p w14:paraId="47050716"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Σύστημα Διεύθυνσης</w:t>
            </w:r>
          </w:p>
        </w:tc>
        <w:tc>
          <w:tcPr>
            <w:tcW w:w="1826" w:type="dxa"/>
            <w:shd w:val="clear" w:color="auto" w:fill="auto"/>
            <w:vAlign w:val="center"/>
          </w:tcPr>
          <w:p w14:paraId="26EDAF8F"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6C40A4C9" w14:textId="77777777" w:rsidTr="0075659A">
        <w:trPr>
          <w:jc w:val="center"/>
        </w:trPr>
        <w:tc>
          <w:tcPr>
            <w:tcW w:w="1402" w:type="dxa"/>
            <w:shd w:val="clear" w:color="auto" w:fill="auto"/>
            <w:vAlign w:val="center"/>
          </w:tcPr>
          <w:p w14:paraId="273F9CF9"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Κ8</w:t>
            </w:r>
          </w:p>
        </w:tc>
        <w:tc>
          <w:tcPr>
            <w:tcW w:w="6378" w:type="dxa"/>
            <w:shd w:val="clear" w:color="auto" w:fill="auto"/>
          </w:tcPr>
          <w:p w14:paraId="4E75C450"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Σύστημα Ανάρτησης</w:t>
            </w:r>
          </w:p>
        </w:tc>
        <w:tc>
          <w:tcPr>
            <w:tcW w:w="1826" w:type="dxa"/>
            <w:shd w:val="clear" w:color="auto" w:fill="auto"/>
            <w:vAlign w:val="center"/>
          </w:tcPr>
          <w:p w14:paraId="16F91252"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157A90C0" w14:textId="77777777" w:rsidTr="0075659A">
        <w:trPr>
          <w:jc w:val="center"/>
        </w:trPr>
        <w:tc>
          <w:tcPr>
            <w:tcW w:w="1402" w:type="dxa"/>
            <w:shd w:val="clear" w:color="auto" w:fill="auto"/>
            <w:vAlign w:val="center"/>
          </w:tcPr>
          <w:p w14:paraId="06FE9A6D"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Κ9</w:t>
            </w:r>
          </w:p>
        </w:tc>
        <w:tc>
          <w:tcPr>
            <w:tcW w:w="6378" w:type="dxa"/>
            <w:shd w:val="clear" w:color="auto" w:fill="auto"/>
          </w:tcPr>
          <w:p w14:paraId="7076EE2F"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Εξοπλισμός καμπίνας</w:t>
            </w:r>
          </w:p>
        </w:tc>
        <w:tc>
          <w:tcPr>
            <w:tcW w:w="1826" w:type="dxa"/>
            <w:shd w:val="clear" w:color="auto" w:fill="auto"/>
            <w:vAlign w:val="center"/>
          </w:tcPr>
          <w:p w14:paraId="1D9C6FD2"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2</w:t>
            </w:r>
          </w:p>
        </w:tc>
      </w:tr>
      <w:tr w:rsidR="00C86F55" w:rsidRPr="00C86F55" w14:paraId="37B20618" w14:textId="77777777" w:rsidTr="0075659A">
        <w:trPr>
          <w:jc w:val="center"/>
        </w:trPr>
        <w:tc>
          <w:tcPr>
            <w:tcW w:w="7780" w:type="dxa"/>
            <w:gridSpan w:val="2"/>
            <w:shd w:val="clear" w:color="auto" w:fill="auto"/>
            <w:vAlign w:val="center"/>
          </w:tcPr>
          <w:p w14:paraId="1A0FD7D7"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ΣΥΝΤΕΛΕΣΤΩΝ ΒΑΡΥΤΗΤΑΣ ΟΜΑΔΑΣ Α:</w:t>
            </w:r>
          </w:p>
        </w:tc>
        <w:tc>
          <w:tcPr>
            <w:tcW w:w="1826" w:type="dxa"/>
            <w:shd w:val="clear" w:color="auto" w:fill="auto"/>
            <w:vAlign w:val="center"/>
          </w:tcPr>
          <w:p w14:paraId="6CD80E85"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17</w:t>
            </w:r>
          </w:p>
        </w:tc>
      </w:tr>
      <w:tr w:rsidR="00C86F55" w:rsidRPr="00C86F55" w14:paraId="01F1FA02" w14:textId="77777777" w:rsidTr="0075659A">
        <w:trPr>
          <w:jc w:val="center"/>
        </w:trPr>
        <w:tc>
          <w:tcPr>
            <w:tcW w:w="9606" w:type="dxa"/>
            <w:gridSpan w:val="3"/>
            <w:shd w:val="clear" w:color="auto" w:fill="auto"/>
            <w:vAlign w:val="center"/>
          </w:tcPr>
          <w:p w14:paraId="43A09146" w14:textId="77777777" w:rsidR="00C86F55" w:rsidRPr="00C86F55" w:rsidRDefault="00C86F55" w:rsidP="00C86F55">
            <w:pPr>
              <w:suppressAutoHyphens w:val="0"/>
              <w:spacing w:after="0"/>
              <w:jc w:val="left"/>
              <w:rPr>
                <w:rFonts w:eastAsia="Cambria" w:cs="Times New Roman"/>
                <w:sz w:val="24"/>
                <w:lang w:val="el-GR" w:eastAsia="el-GR"/>
              </w:rPr>
            </w:pPr>
            <w:r w:rsidRPr="00C86F55">
              <w:rPr>
                <w:rFonts w:eastAsia="Cambria" w:cs="Times New Roman"/>
                <w:color w:val="0000FF"/>
                <w:sz w:val="24"/>
                <w:lang w:val="el-GR" w:eastAsia="el-GR"/>
              </w:rPr>
              <w:t>ΟΜΑΔΑ Β</w:t>
            </w:r>
            <w:r w:rsidRPr="00C86F55">
              <w:rPr>
                <w:rFonts w:eastAsia="Cambria" w:cs="Times New Roman"/>
                <w:color w:val="0000FF"/>
                <w:sz w:val="24"/>
                <w:lang w:val="en-US" w:eastAsia="el-GR"/>
              </w:rPr>
              <w:t>:</w:t>
            </w:r>
            <w:r w:rsidRPr="00C86F55">
              <w:rPr>
                <w:rFonts w:eastAsia="Cambria" w:cs="Times New Roman"/>
                <w:color w:val="0000FF"/>
                <w:sz w:val="24"/>
                <w:lang w:val="el-GR" w:eastAsia="el-GR"/>
              </w:rPr>
              <w:t xml:space="preserve">   ΥΠΕΡΚΑΤΑΣΚΕΥΗ</w:t>
            </w:r>
          </w:p>
        </w:tc>
      </w:tr>
      <w:tr w:rsidR="00C86F55" w:rsidRPr="00C86F55" w14:paraId="3120C4C7" w14:textId="77777777" w:rsidTr="0075659A">
        <w:trPr>
          <w:jc w:val="center"/>
        </w:trPr>
        <w:tc>
          <w:tcPr>
            <w:tcW w:w="1402" w:type="dxa"/>
            <w:shd w:val="clear" w:color="auto" w:fill="auto"/>
            <w:vAlign w:val="center"/>
          </w:tcPr>
          <w:p w14:paraId="3B10CE75"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Κ10</w:t>
            </w:r>
          </w:p>
        </w:tc>
        <w:tc>
          <w:tcPr>
            <w:tcW w:w="6378" w:type="dxa"/>
            <w:shd w:val="clear" w:color="auto" w:fill="auto"/>
          </w:tcPr>
          <w:p w14:paraId="0ECD2D09"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 xml:space="preserve"> Κιβωτάμαξα  - Υλικά και Τρόπος Κατασκευής</w:t>
            </w:r>
          </w:p>
        </w:tc>
        <w:tc>
          <w:tcPr>
            <w:tcW w:w="1826" w:type="dxa"/>
            <w:shd w:val="clear" w:color="auto" w:fill="auto"/>
            <w:vAlign w:val="center"/>
          </w:tcPr>
          <w:p w14:paraId="7045642B"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12</w:t>
            </w:r>
          </w:p>
        </w:tc>
      </w:tr>
      <w:tr w:rsidR="00C86F55" w:rsidRPr="00C86F55" w14:paraId="7E0E3DFE" w14:textId="77777777" w:rsidTr="0075659A">
        <w:trPr>
          <w:jc w:val="center"/>
        </w:trPr>
        <w:tc>
          <w:tcPr>
            <w:tcW w:w="1402" w:type="dxa"/>
            <w:shd w:val="clear" w:color="auto" w:fill="auto"/>
            <w:vAlign w:val="center"/>
          </w:tcPr>
          <w:p w14:paraId="5129C335"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Κ11</w:t>
            </w:r>
          </w:p>
        </w:tc>
        <w:tc>
          <w:tcPr>
            <w:tcW w:w="6378" w:type="dxa"/>
            <w:shd w:val="clear" w:color="auto" w:fill="auto"/>
          </w:tcPr>
          <w:p w14:paraId="4A32BBF1" w14:textId="77777777" w:rsidR="00C86F55" w:rsidRPr="00C86F55" w:rsidRDefault="00C86F55" w:rsidP="00C86F55">
            <w:pPr>
              <w:suppressAutoHyphens w:val="0"/>
              <w:spacing w:after="0"/>
              <w:rPr>
                <w:rFonts w:eastAsia="Cambria" w:cs="Times New Roman"/>
                <w:color w:val="000000"/>
                <w:sz w:val="24"/>
                <w:lang w:val="en-US" w:eastAsia="el-GR"/>
              </w:rPr>
            </w:pPr>
            <w:r w:rsidRPr="00C86F55">
              <w:rPr>
                <w:rFonts w:eastAsia="Cambria" w:cs="Times New Roman"/>
                <w:color w:val="000000"/>
                <w:sz w:val="24"/>
                <w:lang w:val="el-GR" w:eastAsia="el-GR"/>
              </w:rPr>
              <w:t xml:space="preserve"> Σύστημα ανατροπής</w:t>
            </w:r>
          </w:p>
        </w:tc>
        <w:tc>
          <w:tcPr>
            <w:tcW w:w="1826" w:type="dxa"/>
            <w:shd w:val="clear" w:color="auto" w:fill="auto"/>
            <w:vAlign w:val="center"/>
          </w:tcPr>
          <w:p w14:paraId="1760F7C7"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5</w:t>
            </w:r>
          </w:p>
        </w:tc>
      </w:tr>
      <w:tr w:rsidR="00C86F55" w:rsidRPr="00C86F55" w14:paraId="322DBBC5" w14:textId="77777777" w:rsidTr="0075659A">
        <w:trPr>
          <w:jc w:val="center"/>
        </w:trPr>
        <w:tc>
          <w:tcPr>
            <w:tcW w:w="1402" w:type="dxa"/>
            <w:shd w:val="clear" w:color="auto" w:fill="auto"/>
            <w:vAlign w:val="center"/>
          </w:tcPr>
          <w:p w14:paraId="036D3C07"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Κ12</w:t>
            </w:r>
          </w:p>
        </w:tc>
        <w:tc>
          <w:tcPr>
            <w:tcW w:w="6378" w:type="dxa"/>
            <w:shd w:val="clear" w:color="auto" w:fill="auto"/>
          </w:tcPr>
          <w:p w14:paraId="10A48AAC"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Χειρισμός</w:t>
            </w:r>
          </w:p>
        </w:tc>
        <w:tc>
          <w:tcPr>
            <w:tcW w:w="1826" w:type="dxa"/>
            <w:shd w:val="clear" w:color="auto" w:fill="auto"/>
            <w:vAlign w:val="center"/>
          </w:tcPr>
          <w:p w14:paraId="1368AFD2"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3</w:t>
            </w:r>
          </w:p>
        </w:tc>
      </w:tr>
      <w:tr w:rsidR="00C86F55" w:rsidRPr="00C86F55" w14:paraId="10CC41F5" w14:textId="77777777" w:rsidTr="0075659A">
        <w:trPr>
          <w:jc w:val="center"/>
        </w:trPr>
        <w:tc>
          <w:tcPr>
            <w:tcW w:w="1402" w:type="dxa"/>
            <w:shd w:val="clear" w:color="auto" w:fill="auto"/>
            <w:vAlign w:val="center"/>
          </w:tcPr>
          <w:p w14:paraId="1F893C0D"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Κ13</w:t>
            </w:r>
          </w:p>
        </w:tc>
        <w:tc>
          <w:tcPr>
            <w:tcW w:w="6378" w:type="dxa"/>
            <w:shd w:val="clear" w:color="auto" w:fill="auto"/>
          </w:tcPr>
          <w:p w14:paraId="6ED17D23"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Υδραυλικό σύστημα – ανατροπής</w:t>
            </w:r>
          </w:p>
        </w:tc>
        <w:tc>
          <w:tcPr>
            <w:tcW w:w="1826" w:type="dxa"/>
            <w:shd w:val="clear" w:color="auto" w:fill="auto"/>
            <w:vAlign w:val="center"/>
          </w:tcPr>
          <w:p w14:paraId="75BA8D51"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5</w:t>
            </w:r>
          </w:p>
        </w:tc>
      </w:tr>
      <w:tr w:rsidR="00C86F55" w:rsidRPr="00C86F55" w14:paraId="0F62B474" w14:textId="77777777" w:rsidTr="0075659A">
        <w:trPr>
          <w:jc w:val="center"/>
        </w:trPr>
        <w:tc>
          <w:tcPr>
            <w:tcW w:w="7780" w:type="dxa"/>
            <w:gridSpan w:val="2"/>
            <w:shd w:val="clear" w:color="auto" w:fill="auto"/>
            <w:vAlign w:val="center"/>
          </w:tcPr>
          <w:p w14:paraId="070B0C47"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ΣΥΝΤΕΛΕΣΤΩΝ ΒΑΡΥΤΗΤΑΣ ΟΜΑΔΑΣ Β:</w:t>
            </w:r>
          </w:p>
        </w:tc>
        <w:tc>
          <w:tcPr>
            <w:tcW w:w="1826" w:type="dxa"/>
            <w:shd w:val="clear" w:color="auto" w:fill="auto"/>
            <w:vAlign w:val="center"/>
          </w:tcPr>
          <w:p w14:paraId="4DE2C314"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25</w:t>
            </w:r>
          </w:p>
        </w:tc>
      </w:tr>
      <w:tr w:rsidR="00C86F55" w:rsidRPr="00C86F55" w14:paraId="2D6DBEBC" w14:textId="77777777" w:rsidTr="0075659A">
        <w:trPr>
          <w:jc w:val="center"/>
        </w:trPr>
        <w:tc>
          <w:tcPr>
            <w:tcW w:w="9606" w:type="dxa"/>
            <w:gridSpan w:val="3"/>
            <w:shd w:val="clear" w:color="auto" w:fill="auto"/>
            <w:vAlign w:val="center"/>
          </w:tcPr>
          <w:p w14:paraId="58B185FA" w14:textId="77777777" w:rsidR="00C86F55" w:rsidRPr="00C86F55" w:rsidRDefault="00C86F55" w:rsidP="00C86F55">
            <w:pPr>
              <w:suppressAutoHyphens w:val="0"/>
              <w:spacing w:after="0"/>
              <w:jc w:val="left"/>
              <w:rPr>
                <w:rFonts w:eastAsia="Cambria" w:cs="Times New Roman"/>
                <w:sz w:val="24"/>
                <w:lang w:val="el-GR" w:eastAsia="el-GR"/>
              </w:rPr>
            </w:pPr>
            <w:r w:rsidRPr="00C86F55">
              <w:rPr>
                <w:rFonts w:eastAsia="Cambria" w:cs="Times New Roman"/>
                <w:color w:val="0000FF"/>
                <w:sz w:val="24"/>
                <w:lang w:val="el-GR" w:eastAsia="el-GR"/>
              </w:rPr>
              <w:t xml:space="preserve">ΟΜΑΔΑ Γ:   ΤΕΧΝΙΚΗ ΑΞΙΑ </w:t>
            </w:r>
          </w:p>
        </w:tc>
      </w:tr>
      <w:tr w:rsidR="00C86F55" w:rsidRPr="00C86F55" w14:paraId="4046B3D7" w14:textId="77777777" w:rsidTr="0075659A">
        <w:trPr>
          <w:jc w:val="center"/>
        </w:trPr>
        <w:tc>
          <w:tcPr>
            <w:tcW w:w="1402" w:type="dxa"/>
            <w:shd w:val="clear" w:color="auto" w:fill="auto"/>
            <w:vAlign w:val="center"/>
          </w:tcPr>
          <w:p w14:paraId="663AEFE3"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Κ14</w:t>
            </w:r>
          </w:p>
        </w:tc>
        <w:tc>
          <w:tcPr>
            <w:tcW w:w="6378" w:type="dxa"/>
            <w:shd w:val="clear" w:color="auto" w:fill="auto"/>
            <w:vAlign w:val="center"/>
          </w:tcPr>
          <w:p w14:paraId="7E11BD24" w14:textId="77777777" w:rsidR="00C86F55" w:rsidRPr="00C86F55" w:rsidRDefault="00C86F55" w:rsidP="00C86F55">
            <w:pPr>
              <w:suppressAutoHyphens w:val="0"/>
              <w:spacing w:after="0"/>
              <w:jc w:val="left"/>
              <w:rPr>
                <w:rFonts w:eastAsia="Cambria" w:cs="Times New Roman"/>
                <w:color w:val="000000"/>
                <w:sz w:val="24"/>
                <w:lang w:val="el-GR" w:eastAsia="el-GR"/>
              </w:rPr>
            </w:pPr>
            <w:r w:rsidRPr="00C86F55">
              <w:rPr>
                <w:rFonts w:eastAsia="Cambria" w:cs="Times New Roman"/>
                <w:color w:val="000000"/>
                <w:sz w:val="24"/>
                <w:lang w:val="el-GR" w:eastAsia="el-GR"/>
              </w:rPr>
              <w:t>Τεχνική αξία (Λειτουργικότητα, αποδοτικότητα, αισθητικότητα του προσφερόμενου εξοπλισμού).</w:t>
            </w:r>
          </w:p>
        </w:tc>
        <w:tc>
          <w:tcPr>
            <w:tcW w:w="1826" w:type="dxa"/>
            <w:shd w:val="clear" w:color="auto" w:fill="auto"/>
            <w:vAlign w:val="center"/>
          </w:tcPr>
          <w:p w14:paraId="0991FA94"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14</w:t>
            </w:r>
          </w:p>
        </w:tc>
      </w:tr>
      <w:tr w:rsidR="00C86F55" w:rsidRPr="00C86F55" w14:paraId="1213AD83" w14:textId="77777777" w:rsidTr="0075659A">
        <w:trPr>
          <w:jc w:val="center"/>
        </w:trPr>
        <w:tc>
          <w:tcPr>
            <w:tcW w:w="7780" w:type="dxa"/>
            <w:gridSpan w:val="2"/>
            <w:shd w:val="clear" w:color="auto" w:fill="auto"/>
            <w:vAlign w:val="center"/>
          </w:tcPr>
          <w:p w14:paraId="736E2228"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ΣΥΝΤΕΛΕΣΤΩΝ ΒΑΡΥΤΗΤΑΣ ΟΜΑΔΑΣ Γ:</w:t>
            </w:r>
          </w:p>
        </w:tc>
        <w:tc>
          <w:tcPr>
            <w:tcW w:w="1826" w:type="dxa"/>
            <w:shd w:val="clear" w:color="auto" w:fill="auto"/>
            <w:vAlign w:val="center"/>
          </w:tcPr>
          <w:p w14:paraId="63215DAD"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14</w:t>
            </w:r>
          </w:p>
        </w:tc>
      </w:tr>
      <w:tr w:rsidR="00C86F55" w:rsidRPr="00C86F55" w14:paraId="0E0DEE8C" w14:textId="77777777" w:rsidTr="0075659A">
        <w:trPr>
          <w:jc w:val="center"/>
        </w:trPr>
        <w:tc>
          <w:tcPr>
            <w:tcW w:w="9606" w:type="dxa"/>
            <w:gridSpan w:val="3"/>
            <w:shd w:val="clear" w:color="auto" w:fill="auto"/>
            <w:vAlign w:val="center"/>
          </w:tcPr>
          <w:p w14:paraId="17F43124" w14:textId="77777777" w:rsidR="00C86F55" w:rsidRPr="00C86F55" w:rsidRDefault="00C86F55" w:rsidP="00C86F55">
            <w:pPr>
              <w:suppressAutoHyphens w:val="0"/>
              <w:spacing w:after="0"/>
              <w:jc w:val="left"/>
              <w:rPr>
                <w:rFonts w:eastAsia="Cambria" w:cs="Times New Roman"/>
                <w:sz w:val="24"/>
                <w:lang w:val="el-GR" w:eastAsia="el-GR"/>
              </w:rPr>
            </w:pPr>
            <w:r w:rsidRPr="00C86F55">
              <w:rPr>
                <w:rFonts w:eastAsia="Cambria" w:cs="Times New Roman"/>
                <w:color w:val="0000FF"/>
                <w:sz w:val="24"/>
                <w:lang w:val="el-GR" w:eastAsia="el-GR"/>
              </w:rPr>
              <w:t xml:space="preserve">ΟΜΑΔΑ Δ:   ΚΑΤΑΛΛΗΛΟΤΗΤΑ  </w:t>
            </w:r>
          </w:p>
        </w:tc>
      </w:tr>
      <w:tr w:rsidR="00C86F55" w:rsidRPr="00C86F55" w14:paraId="152DCDE9" w14:textId="77777777" w:rsidTr="0075659A">
        <w:trPr>
          <w:jc w:val="center"/>
        </w:trPr>
        <w:tc>
          <w:tcPr>
            <w:tcW w:w="1402" w:type="dxa"/>
            <w:shd w:val="clear" w:color="auto" w:fill="auto"/>
            <w:vAlign w:val="center"/>
          </w:tcPr>
          <w:p w14:paraId="47853ABD"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Κ15</w:t>
            </w:r>
          </w:p>
        </w:tc>
        <w:tc>
          <w:tcPr>
            <w:tcW w:w="6378" w:type="dxa"/>
            <w:shd w:val="clear" w:color="auto" w:fill="auto"/>
            <w:vAlign w:val="center"/>
          </w:tcPr>
          <w:p w14:paraId="5D2B423E" w14:textId="77777777" w:rsidR="00C86F55" w:rsidRPr="00C86F55" w:rsidRDefault="00C86F55" w:rsidP="00C86F55">
            <w:pPr>
              <w:suppressAutoHyphens w:val="0"/>
              <w:spacing w:after="0"/>
              <w:jc w:val="left"/>
              <w:rPr>
                <w:rFonts w:eastAsia="Cambria" w:cs="Times New Roman"/>
                <w:color w:val="000000"/>
                <w:sz w:val="24"/>
                <w:lang w:val="el-GR" w:eastAsia="el-GR"/>
              </w:rPr>
            </w:pPr>
            <w:r w:rsidRPr="00C86F55">
              <w:rPr>
                <w:rFonts w:eastAsia="Cambria" w:cs="Times New Roman"/>
                <w:color w:val="000000"/>
                <w:sz w:val="24"/>
                <w:lang w:val="el-GR" w:eastAsia="el-GR"/>
              </w:rPr>
              <w:t>Καταλληλότητα του προσφερόμενου εξοπλισμού για την εξυπηρέτηση του σκοπού για τον οποίο προορίζεται</w:t>
            </w:r>
          </w:p>
        </w:tc>
        <w:tc>
          <w:tcPr>
            <w:tcW w:w="1826" w:type="dxa"/>
            <w:shd w:val="clear" w:color="auto" w:fill="auto"/>
            <w:vAlign w:val="center"/>
          </w:tcPr>
          <w:p w14:paraId="5F993FB4"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14</w:t>
            </w:r>
          </w:p>
        </w:tc>
      </w:tr>
      <w:tr w:rsidR="00C86F55" w:rsidRPr="00C86F55" w14:paraId="7F43E2D3" w14:textId="77777777" w:rsidTr="0075659A">
        <w:trPr>
          <w:jc w:val="center"/>
        </w:trPr>
        <w:tc>
          <w:tcPr>
            <w:tcW w:w="7780" w:type="dxa"/>
            <w:gridSpan w:val="2"/>
            <w:shd w:val="clear" w:color="auto" w:fill="auto"/>
            <w:vAlign w:val="center"/>
          </w:tcPr>
          <w:p w14:paraId="19411E3E"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ΣΥΝΤΕΛΕΣΤΩΝ ΒΑΡΥΤΗΤΑΣ ΟΜΑΔΑΣ Δ:</w:t>
            </w:r>
          </w:p>
        </w:tc>
        <w:tc>
          <w:tcPr>
            <w:tcW w:w="1826" w:type="dxa"/>
            <w:shd w:val="clear" w:color="auto" w:fill="auto"/>
            <w:vAlign w:val="center"/>
          </w:tcPr>
          <w:p w14:paraId="7231E5A5"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14</w:t>
            </w:r>
          </w:p>
        </w:tc>
      </w:tr>
      <w:tr w:rsidR="00C86F55" w:rsidRPr="00C86F55" w14:paraId="3FD59423" w14:textId="77777777" w:rsidTr="0075659A">
        <w:trPr>
          <w:jc w:val="center"/>
        </w:trPr>
        <w:tc>
          <w:tcPr>
            <w:tcW w:w="9606" w:type="dxa"/>
            <w:gridSpan w:val="3"/>
            <w:shd w:val="clear" w:color="auto" w:fill="auto"/>
            <w:vAlign w:val="center"/>
          </w:tcPr>
          <w:p w14:paraId="6A61AA77" w14:textId="77777777" w:rsidR="00C86F55" w:rsidRPr="00C86F55" w:rsidRDefault="00C86F55" w:rsidP="00C86F55">
            <w:pPr>
              <w:suppressAutoHyphens w:val="0"/>
              <w:spacing w:after="0"/>
              <w:jc w:val="left"/>
              <w:rPr>
                <w:rFonts w:eastAsia="Cambria" w:cs="Times New Roman"/>
                <w:sz w:val="24"/>
                <w:lang w:val="el-GR" w:eastAsia="el-GR"/>
              </w:rPr>
            </w:pPr>
            <w:r w:rsidRPr="00C86F55">
              <w:rPr>
                <w:rFonts w:eastAsia="Cambria" w:cs="Times New Roman"/>
                <w:color w:val="0000FF"/>
                <w:sz w:val="24"/>
                <w:lang w:val="el-GR" w:eastAsia="el-GR"/>
              </w:rPr>
              <w:t xml:space="preserve">ΟΜΑΔΑ Ε:   ΤΕΧΝΙΚΗ ΥΠΟΣΤΗΡΙΞΗ   </w:t>
            </w:r>
          </w:p>
        </w:tc>
      </w:tr>
      <w:tr w:rsidR="00C86F55" w:rsidRPr="00C86F55" w14:paraId="176074F5" w14:textId="77777777" w:rsidTr="0075659A">
        <w:trPr>
          <w:jc w:val="center"/>
        </w:trPr>
        <w:tc>
          <w:tcPr>
            <w:tcW w:w="1402" w:type="dxa"/>
            <w:shd w:val="clear" w:color="auto" w:fill="auto"/>
            <w:vAlign w:val="center"/>
          </w:tcPr>
          <w:p w14:paraId="7FA0D4AF"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Κ16</w:t>
            </w:r>
          </w:p>
        </w:tc>
        <w:tc>
          <w:tcPr>
            <w:tcW w:w="6378" w:type="dxa"/>
            <w:shd w:val="clear" w:color="auto" w:fill="auto"/>
          </w:tcPr>
          <w:p w14:paraId="580C32D6"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Εγγύηση καλής λειτουργίας.</w:t>
            </w:r>
          </w:p>
        </w:tc>
        <w:tc>
          <w:tcPr>
            <w:tcW w:w="1826" w:type="dxa"/>
            <w:shd w:val="clear" w:color="auto" w:fill="auto"/>
            <w:vAlign w:val="center"/>
          </w:tcPr>
          <w:p w14:paraId="67071FEB"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10</w:t>
            </w:r>
          </w:p>
        </w:tc>
      </w:tr>
      <w:tr w:rsidR="00C86F55" w:rsidRPr="00C86F55" w14:paraId="7A2A6D1B" w14:textId="77777777" w:rsidTr="0075659A">
        <w:trPr>
          <w:jc w:val="center"/>
        </w:trPr>
        <w:tc>
          <w:tcPr>
            <w:tcW w:w="1402" w:type="dxa"/>
            <w:shd w:val="clear" w:color="auto" w:fill="auto"/>
            <w:vAlign w:val="center"/>
          </w:tcPr>
          <w:p w14:paraId="6A7394C5"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Κ17</w:t>
            </w:r>
          </w:p>
        </w:tc>
        <w:tc>
          <w:tcPr>
            <w:tcW w:w="6378" w:type="dxa"/>
            <w:shd w:val="clear" w:color="auto" w:fill="auto"/>
          </w:tcPr>
          <w:p w14:paraId="6F1F4B7D" w14:textId="77777777" w:rsidR="00C86F55" w:rsidRPr="00C86F55" w:rsidRDefault="00C86F55" w:rsidP="00C86F55">
            <w:pPr>
              <w:suppressAutoHyphens w:val="0"/>
              <w:spacing w:after="0"/>
              <w:jc w:val="left"/>
              <w:rPr>
                <w:rFonts w:eastAsia="Cambria" w:cs="Times New Roman"/>
                <w:color w:val="000000"/>
                <w:sz w:val="24"/>
                <w:lang w:val="el-GR" w:eastAsia="el-GR"/>
              </w:rPr>
            </w:pPr>
            <w:r w:rsidRPr="00C86F55">
              <w:rPr>
                <w:rFonts w:eastAsia="Cambria" w:cs="Times New Roman"/>
                <w:color w:val="000000"/>
                <w:sz w:val="24"/>
                <w:lang w:val="el-GR" w:eastAsia="el-GR"/>
              </w:rPr>
              <w:t>Εκπαίδευση χειριστών, ανταλλακτικά, χρόνος παράδοσης 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826" w:type="dxa"/>
            <w:shd w:val="clear" w:color="auto" w:fill="auto"/>
            <w:vAlign w:val="center"/>
          </w:tcPr>
          <w:p w14:paraId="1E9FF944"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15</w:t>
            </w:r>
          </w:p>
        </w:tc>
      </w:tr>
      <w:tr w:rsidR="00C86F55" w:rsidRPr="00C86F55" w14:paraId="56A86767" w14:textId="77777777" w:rsidTr="0075659A">
        <w:trPr>
          <w:jc w:val="center"/>
        </w:trPr>
        <w:tc>
          <w:tcPr>
            <w:tcW w:w="1402" w:type="dxa"/>
            <w:shd w:val="clear" w:color="auto" w:fill="auto"/>
            <w:vAlign w:val="center"/>
          </w:tcPr>
          <w:p w14:paraId="48A8A8FB"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Κ18</w:t>
            </w:r>
          </w:p>
        </w:tc>
        <w:tc>
          <w:tcPr>
            <w:tcW w:w="6378" w:type="dxa"/>
            <w:shd w:val="clear" w:color="auto" w:fill="auto"/>
          </w:tcPr>
          <w:p w14:paraId="09678EE9" w14:textId="77777777" w:rsidR="00C86F55" w:rsidRPr="00C86F55" w:rsidRDefault="00C86F55" w:rsidP="00C86F55">
            <w:pPr>
              <w:suppressAutoHyphens w:val="0"/>
              <w:spacing w:after="0"/>
              <w:rPr>
                <w:rFonts w:eastAsia="Cambria" w:cs="Times New Roman"/>
                <w:color w:val="000000"/>
                <w:sz w:val="24"/>
                <w:lang w:val="el-GR" w:eastAsia="el-GR"/>
              </w:rPr>
            </w:pPr>
            <w:r w:rsidRPr="00C86F55">
              <w:rPr>
                <w:rFonts w:eastAsia="Cambria" w:cs="Times New Roman"/>
                <w:color w:val="000000"/>
                <w:sz w:val="24"/>
                <w:lang w:val="el-GR" w:eastAsia="el-GR"/>
              </w:rPr>
              <w:t>Χρόνος   παράδοσης.</w:t>
            </w:r>
          </w:p>
        </w:tc>
        <w:tc>
          <w:tcPr>
            <w:tcW w:w="1826" w:type="dxa"/>
            <w:shd w:val="clear" w:color="auto" w:fill="auto"/>
            <w:vAlign w:val="center"/>
          </w:tcPr>
          <w:p w14:paraId="64E23F6F" w14:textId="77777777" w:rsidR="00C86F55" w:rsidRPr="00C86F55" w:rsidRDefault="00C86F55" w:rsidP="00C86F55">
            <w:pPr>
              <w:suppressAutoHyphens w:val="0"/>
              <w:spacing w:after="0"/>
              <w:jc w:val="center"/>
              <w:rPr>
                <w:rFonts w:eastAsia="Cambria" w:cs="Times New Roman"/>
                <w:sz w:val="24"/>
                <w:lang w:val="el-GR" w:eastAsia="el-GR"/>
              </w:rPr>
            </w:pPr>
            <w:r w:rsidRPr="00C86F55">
              <w:rPr>
                <w:rFonts w:eastAsia="Cambria" w:cs="Times New Roman"/>
                <w:sz w:val="24"/>
                <w:lang w:val="el-GR" w:eastAsia="el-GR"/>
              </w:rPr>
              <w:t>5</w:t>
            </w:r>
          </w:p>
        </w:tc>
      </w:tr>
      <w:tr w:rsidR="00C86F55" w:rsidRPr="00C86F55" w14:paraId="64385DB9" w14:textId="77777777" w:rsidTr="0075659A">
        <w:trPr>
          <w:jc w:val="center"/>
        </w:trPr>
        <w:tc>
          <w:tcPr>
            <w:tcW w:w="7780" w:type="dxa"/>
            <w:gridSpan w:val="2"/>
            <w:shd w:val="clear" w:color="auto" w:fill="auto"/>
            <w:vAlign w:val="center"/>
          </w:tcPr>
          <w:p w14:paraId="1593D1B5"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ΣΥΝΤΕΛΕΣΤΩΝ ΒΑΡΥΤΗΤΑΣ ΟΜΑΔΑΣ Ε:</w:t>
            </w:r>
          </w:p>
        </w:tc>
        <w:tc>
          <w:tcPr>
            <w:tcW w:w="1826" w:type="dxa"/>
            <w:shd w:val="clear" w:color="auto" w:fill="auto"/>
            <w:vAlign w:val="center"/>
          </w:tcPr>
          <w:p w14:paraId="62E0C6D2"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30</w:t>
            </w:r>
          </w:p>
        </w:tc>
      </w:tr>
      <w:tr w:rsidR="00C86F55" w:rsidRPr="00C86F55" w14:paraId="3B530457" w14:textId="77777777" w:rsidTr="0075659A">
        <w:trPr>
          <w:jc w:val="center"/>
        </w:trPr>
        <w:tc>
          <w:tcPr>
            <w:tcW w:w="7780" w:type="dxa"/>
            <w:gridSpan w:val="2"/>
            <w:shd w:val="clear" w:color="auto" w:fill="auto"/>
            <w:vAlign w:val="center"/>
          </w:tcPr>
          <w:p w14:paraId="61707093" w14:textId="77777777" w:rsidR="00C86F55" w:rsidRPr="00C86F55" w:rsidRDefault="00C86F55" w:rsidP="00C86F55">
            <w:pPr>
              <w:suppressAutoHyphens w:val="0"/>
              <w:spacing w:after="0"/>
              <w:jc w:val="left"/>
              <w:rPr>
                <w:rFonts w:eastAsia="Cambria" w:cs="Times New Roman"/>
                <w:color w:val="0000FF"/>
                <w:sz w:val="24"/>
                <w:lang w:val="el-GR" w:eastAsia="el-GR"/>
              </w:rPr>
            </w:pPr>
            <w:r w:rsidRPr="00C86F55">
              <w:rPr>
                <w:rFonts w:eastAsia="Cambria" w:cs="Times New Roman"/>
                <w:color w:val="0000FF"/>
                <w:sz w:val="24"/>
                <w:lang w:val="el-GR" w:eastAsia="el-GR"/>
              </w:rPr>
              <w:t>ΑΘΡΟΙΣΜΑ ΣΥΝΟΛΟΥ ΣΥΝΤΕΛΕΣΤΩΝ ΒΑΡΥΤΗΤΑΣ Α+Β+Γ+Δ+Ε:</w:t>
            </w:r>
          </w:p>
        </w:tc>
        <w:tc>
          <w:tcPr>
            <w:tcW w:w="1826" w:type="dxa"/>
            <w:shd w:val="clear" w:color="auto" w:fill="auto"/>
            <w:vAlign w:val="center"/>
          </w:tcPr>
          <w:p w14:paraId="319BA699" w14:textId="77777777" w:rsidR="00C86F55" w:rsidRPr="00C86F55" w:rsidRDefault="00C86F55" w:rsidP="00C86F55">
            <w:pPr>
              <w:suppressAutoHyphens w:val="0"/>
              <w:spacing w:after="0"/>
              <w:jc w:val="center"/>
              <w:rPr>
                <w:rFonts w:eastAsia="Cambria" w:cs="Times New Roman"/>
                <w:b/>
                <w:color w:val="0000FF"/>
                <w:sz w:val="24"/>
                <w:lang w:val="el-GR" w:eastAsia="el-GR"/>
              </w:rPr>
            </w:pPr>
            <w:r w:rsidRPr="00C86F55">
              <w:rPr>
                <w:rFonts w:eastAsia="Cambria" w:cs="Times New Roman"/>
                <w:b/>
                <w:color w:val="0000FF"/>
                <w:sz w:val="24"/>
                <w:lang w:val="el-GR" w:eastAsia="el-GR"/>
              </w:rPr>
              <w:t>100</w:t>
            </w:r>
          </w:p>
        </w:tc>
      </w:tr>
    </w:tbl>
    <w:p w14:paraId="7ADA3F64" w14:textId="77777777" w:rsidR="00C86F55" w:rsidRPr="00C86F55" w:rsidRDefault="00C86F55" w:rsidP="00C86F55">
      <w:pPr>
        <w:suppressAutoHyphens w:val="0"/>
        <w:spacing w:after="0" w:line="259" w:lineRule="auto"/>
        <w:rPr>
          <w:sz w:val="24"/>
          <w:lang w:val="el-GR" w:eastAsia="el-GR"/>
        </w:rPr>
      </w:pPr>
    </w:p>
    <w:p w14:paraId="21BECB9A"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14:paraId="4B69F935" w14:textId="77777777" w:rsidR="00C86F55" w:rsidRDefault="00C86F55">
      <w:pPr>
        <w:rPr>
          <w:lang w:val="el-GR"/>
        </w:rPr>
      </w:pPr>
    </w:p>
    <w:p w14:paraId="226C8B3F" w14:textId="7ED82F43" w:rsidR="00C86F55" w:rsidRDefault="003929DA" w:rsidP="00C86F55">
      <w:pPr>
        <w:spacing w:line="276" w:lineRule="auto"/>
        <w:rPr>
          <w:lang w:val="el-GR"/>
        </w:rPr>
      </w:pPr>
      <w:bookmarkStart w:id="35" w:name="_Toc129004424"/>
      <w:r w:rsidRPr="00C86F55">
        <w:rPr>
          <w:b/>
          <w:lang w:val="el-GR"/>
        </w:rPr>
        <w:lastRenderedPageBreak/>
        <w:t>2.3.2</w:t>
      </w:r>
      <w:r w:rsidRPr="00C86F55">
        <w:rPr>
          <w:b/>
          <w:lang w:val="el-GR"/>
        </w:rPr>
        <w:tab/>
        <w:t>Βαθ</w:t>
      </w:r>
      <w:r w:rsidR="00C93713" w:rsidRPr="00C86F55">
        <w:rPr>
          <w:b/>
          <w:lang w:val="el-GR"/>
        </w:rPr>
        <w:t>μολόγηση και κατάταξη προσφορών</w:t>
      </w:r>
      <w:r w:rsidRPr="00C86F55">
        <w:rPr>
          <w:rStyle w:val="WW-FootnoteReference5"/>
          <w:b/>
          <w:lang w:val="el-GR"/>
        </w:rPr>
        <w:footnoteReference w:id="92"/>
      </w:r>
      <w:r w:rsidRPr="00C86F55">
        <w:rPr>
          <w:b/>
          <w:lang w:val="el-GR"/>
        </w:rPr>
        <w:t xml:space="preserve"> </w:t>
      </w:r>
    </w:p>
    <w:p w14:paraId="3035FA50" w14:textId="187382C5" w:rsidR="00C86F55" w:rsidRPr="00C86F55" w:rsidRDefault="003929DA" w:rsidP="00C86F55">
      <w:pPr>
        <w:spacing w:line="276" w:lineRule="auto"/>
        <w:rPr>
          <w:rFonts w:ascii="Times New Roman" w:hAnsi="Times New Roman" w:cs="Times New Roman"/>
          <w:szCs w:val="22"/>
          <w:lang w:val="el-GR" w:eastAsia="el-GR"/>
        </w:rPr>
      </w:pPr>
      <w:r>
        <w:rPr>
          <w:b/>
          <w:bCs/>
          <w:i/>
          <w:color w:val="5B9BD5"/>
          <w:lang w:val="el-GR"/>
        </w:rPr>
        <w:t xml:space="preserve"> </w:t>
      </w:r>
      <w:bookmarkStart w:id="36" w:name="_Toc129004425"/>
      <w:bookmarkEnd w:id="35"/>
      <w:r w:rsidR="00C86F55" w:rsidRPr="00C86F55">
        <w:rPr>
          <w:rFonts w:ascii="Times New Roman" w:hAnsi="Times New Roman" w:cs="Times New Roman"/>
          <w:szCs w:val="22"/>
          <w:lang w:val="el-GR" w:eastAsia="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14:paraId="21D096EC"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 xml:space="preserve">Κάθε κριτήριο αξιολόγησης βαθμολογείται αυτόνομα με βάση τα στοιχεία της προσφοράς. </w:t>
      </w:r>
    </w:p>
    <w:p w14:paraId="5A3A96A0"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14B16F7D"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 xml:space="preserve">Η συνολική βαθμολογία της τεχνικής προσφοράς υπολογίζεται με βάση τον παρακάτω τύπο: </w:t>
      </w:r>
    </w:p>
    <w:p w14:paraId="760ECF72"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 xml:space="preserve">U = σ1 </w:t>
      </w:r>
      <w:r w:rsidRPr="00C86F55">
        <w:rPr>
          <w:rFonts w:ascii="Times New Roman" w:hAnsi="Times New Roman" w:cs="Times New Roman"/>
          <w:szCs w:val="22"/>
          <w:lang w:val="en-US" w:eastAsia="el-GR"/>
        </w:rPr>
        <w:t>x</w:t>
      </w:r>
      <w:r w:rsidRPr="00C86F55">
        <w:rPr>
          <w:rFonts w:ascii="Times New Roman" w:hAnsi="Times New Roman" w:cs="Times New Roman"/>
          <w:szCs w:val="22"/>
          <w:lang w:val="el-GR" w:eastAsia="el-GR"/>
        </w:rPr>
        <w:t xml:space="preserve"> Κ1 + σ2 </w:t>
      </w:r>
      <w:r w:rsidRPr="00C86F55">
        <w:rPr>
          <w:rFonts w:ascii="Times New Roman" w:hAnsi="Times New Roman" w:cs="Times New Roman"/>
          <w:szCs w:val="22"/>
          <w:lang w:val="en-US" w:eastAsia="el-GR"/>
        </w:rPr>
        <w:t>x</w:t>
      </w:r>
      <w:r w:rsidRPr="00C86F55">
        <w:rPr>
          <w:rFonts w:ascii="Times New Roman" w:hAnsi="Times New Roman" w:cs="Times New Roman"/>
          <w:szCs w:val="22"/>
          <w:lang w:val="el-GR" w:eastAsia="el-GR"/>
        </w:rPr>
        <w:t xml:space="preserve"> Κ2 + …… + σν </w:t>
      </w:r>
      <w:r w:rsidRPr="00C86F55">
        <w:rPr>
          <w:rFonts w:ascii="Times New Roman" w:hAnsi="Times New Roman" w:cs="Times New Roman"/>
          <w:szCs w:val="22"/>
          <w:lang w:val="en-US" w:eastAsia="el-GR"/>
        </w:rPr>
        <w:t>x</w:t>
      </w:r>
      <w:r w:rsidRPr="00C86F55">
        <w:rPr>
          <w:rFonts w:ascii="Times New Roman" w:hAnsi="Times New Roman" w:cs="Times New Roman"/>
          <w:szCs w:val="22"/>
          <w:lang w:val="el-GR" w:eastAsia="el-GR"/>
        </w:rPr>
        <w:t xml:space="preserve"> </w:t>
      </w:r>
      <w:proofErr w:type="spellStart"/>
      <w:r w:rsidRPr="00C86F55">
        <w:rPr>
          <w:rFonts w:ascii="Times New Roman" w:hAnsi="Times New Roman" w:cs="Times New Roman"/>
          <w:szCs w:val="22"/>
          <w:lang w:val="el-GR" w:eastAsia="el-GR"/>
        </w:rPr>
        <w:t>Κν</w:t>
      </w:r>
      <w:proofErr w:type="spellEnd"/>
    </w:p>
    <w:p w14:paraId="31393BBB"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 xml:space="preserve">όπου: σν είναι ο συντελεστής βαρύτητας του κριτηρίου </w:t>
      </w:r>
      <w:proofErr w:type="spellStart"/>
      <w:r w:rsidRPr="00C86F55">
        <w:rPr>
          <w:rFonts w:ascii="Times New Roman" w:hAnsi="Times New Roman" w:cs="Times New Roman"/>
          <w:szCs w:val="22"/>
          <w:lang w:val="el-GR" w:eastAsia="el-GR"/>
        </w:rPr>
        <w:t>Κν</w:t>
      </w:r>
      <w:proofErr w:type="spellEnd"/>
      <w:r w:rsidRPr="00C86F55">
        <w:rPr>
          <w:rFonts w:ascii="Times New Roman" w:hAnsi="Times New Roman" w:cs="Times New Roman"/>
          <w:szCs w:val="22"/>
          <w:lang w:val="el-GR" w:eastAsia="el-GR"/>
        </w:rPr>
        <w:t xml:space="preserve"> και ισχύει</w:t>
      </w:r>
    </w:p>
    <w:p w14:paraId="7BB53D63"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σ1 + σ2 + … + σν = 1 (100%)</w:t>
      </w:r>
    </w:p>
    <w:p w14:paraId="7300F19A"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14:paraId="06419DDB" w14:textId="77777777" w:rsidR="00C86F55" w:rsidRPr="00C86F55" w:rsidRDefault="00C86F55" w:rsidP="00C86F55">
      <w:pPr>
        <w:suppressAutoHyphens w:val="0"/>
        <w:spacing w:after="0" w:line="276" w:lineRule="auto"/>
        <w:rPr>
          <w:rFonts w:ascii="Times New Roman" w:hAnsi="Times New Roman" w:cs="Times New Roman"/>
          <w:szCs w:val="22"/>
          <w:lang w:val="el-GR" w:eastAsia="el-GR"/>
        </w:rPr>
      </w:pPr>
      <w:r w:rsidRPr="00C86F55">
        <w:rPr>
          <w:rFonts w:ascii="Times New Roman" w:hAnsi="Times New Roman" w:cs="Times New Roman"/>
          <w:szCs w:val="22"/>
          <w:lang w:val="el-GR" w:eastAsia="el-GR"/>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14:paraId="1E51863F" w14:textId="77777777" w:rsidR="00C86F55" w:rsidRPr="00C86F55" w:rsidRDefault="00C86F55" w:rsidP="00C86F55">
      <w:pPr>
        <w:suppressAutoHyphens w:val="0"/>
        <w:spacing w:after="0" w:line="120" w:lineRule="auto"/>
        <w:rPr>
          <w:rFonts w:ascii="Times New Roman" w:hAnsi="Times New Roman" w:cs="Times New Roman"/>
          <w:szCs w:val="22"/>
          <w:lang w:val="el-GR" w:eastAsia="el-GR"/>
        </w:rPr>
      </w:pPr>
    </w:p>
    <w:tbl>
      <w:tblPr>
        <w:tblW w:w="0" w:type="auto"/>
        <w:tblInd w:w="164" w:type="dxa"/>
        <w:tblLayout w:type="fixed"/>
        <w:tblLook w:val="0000" w:firstRow="0" w:lastRow="0" w:firstColumn="0" w:lastColumn="0" w:noHBand="0" w:noVBand="0"/>
      </w:tblPr>
      <w:tblGrid>
        <w:gridCol w:w="450"/>
        <w:gridCol w:w="436"/>
        <w:gridCol w:w="4550"/>
      </w:tblGrid>
      <w:tr w:rsidR="00C86F55" w:rsidRPr="00C86F55" w14:paraId="1D5764AC" w14:textId="77777777" w:rsidTr="0075659A">
        <w:trPr>
          <w:cantSplit/>
          <w:trHeight w:val="458"/>
        </w:trPr>
        <w:tc>
          <w:tcPr>
            <w:tcW w:w="450" w:type="dxa"/>
            <w:vMerge w:val="restart"/>
            <w:shd w:val="clear" w:color="auto" w:fill="auto"/>
            <w:vAlign w:val="center"/>
          </w:tcPr>
          <w:p w14:paraId="3897CE64"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r w:rsidRPr="00C86F55">
              <w:rPr>
                <w:rFonts w:ascii="Times New Roman" w:hAnsi="Times New Roman" w:cs="Times New Roman"/>
                <w:szCs w:val="22"/>
                <w:lang w:val="el-GR" w:eastAsia="el-GR"/>
              </w:rPr>
              <w:t>Λ</w:t>
            </w:r>
          </w:p>
        </w:tc>
        <w:tc>
          <w:tcPr>
            <w:tcW w:w="436" w:type="dxa"/>
            <w:vMerge w:val="restart"/>
            <w:shd w:val="clear" w:color="auto" w:fill="auto"/>
            <w:vAlign w:val="center"/>
          </w:tcPr>
          <w:p w14:paraId="32D5B250"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r w:rsidRPr="00C86F55">
              <w:rPr>
                <w:rFonts w:ascii="Times New Roman" w:hAnsi="Times New Roman" w:cs="Times New Roman"/>
                <w:szCs w:val="22"/>
                <w:lang w:val="el-GR" w:eastAsia="el-GR"/>
              </w:rPr>
              <w:t>=</w:t>
            </w:r>
          </w:p>
        </w:tc>
        <w:tc>
          <w:tcPr>
            <w:tcW w:w="4550" w:type="dxa"/>
            <w:tcBorders>
              <w:bottom w:val="single" w:sz="4" w:space="0" w:color="000000"/>
            </w:tcBorders>
            <w:shd w:val="clear" w:color="auto" w:fill="auto"/>
            <w:vAlign w:val="center"/>
          </w:tcPr>
          <w:p w14:paraId="4B2674B0"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r w:rsidRPr="00C86F55">
              <w:rPr>
                <w:rFonts w:ascii="Times New Roman" w:hAnsi="Times New Roman" w:cs="Times New Roman"/>
                <w:szCs w:val="22"/>
                <w:lang w:val="el-GR" w:eastAsia="el-GR"/>
              </w:rPr>
              <w:t>Προσφερθείσα τιμή</w:t>
            </w:r>
          </w:p>
        </w:tc>
      </w:tr>
      <w:tr w:rsidR="00C86F55" w:rsidRPr="00C86F55" w14:paraId="6190551C" w14:textId="77777777" w:rsidTr="0075659A">
        <w:trPr>
          <w:cantSplit/>
        </w:trPr>
        <w:tc>
          <w:tcPr>
            <w:tcW w:w="450" w:type="dxa"/>
            <w:vMerge/>
            <w:shd w:val="clear" w:color="auto" w:fill="auto"/>
            <w:vAlign w:val="center"/>
          </w:tcPr>
          <w:p w14:paraId="3CBDE111"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p>
        </w:tc>
        <w:tc>
          <w:tcPr>
            <w:tcW w:w="436" w:type="dxa"/>
            <w:vMerge/>
            <w:shd w:val="clear" w:color="auto" w:fill="auto"/>
            <w:vAlign w:val="center"/>
          </w:tcPr>
          <w:p w14:paraId="5B70270F"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p>
        </w:tc>
        <w:tc>
          <w:tcPr>
            <w:tcW w:w="4550" w:type="dxa"/>
            <w:tcBorders>
              <w:top w:val="single" w:sz="4" w:space="0" w:color="000000"/>
            </w:tcBorders>
            <w:shd w:val="clear" w:color="auto" w:fill="auto"/>
            <w:vAlign w:val="center"/>
          </w:tcPr>
          <w:p w14:paraId="78975B23" w14:textId="77777777" w:rsidR="00C86F55" w:rsidRPr="00C86F55" w:rsidRDefault="00C86F55" w:rsidP="00C86F55">
            <w:pPr>
              <w:suppressAutoHyphens w:val="0"/>
              <w:spacing w:after="0" w:line="360" w:lineRule="auto"/>
              <w:rPr>
                <w:rFonts w:ascii="Times New Roman" w:hAnsi="Times New Roman" w:cs="Times New Roman"/>
                <w:sz w:val="24"/>
                <w:lang w:val="el-GR" w:eastAsia="el-GR"/>
              </w:rPr>
            </w:pPr>
            <w:r w:rsidRPr="00C86F55">
              <w:rPr>
                <w:rFonts w:ascii="Times New Roman" w:hAnsi="Times New Roman" w:cs="Times New Roman"/>
                <w:szCs w:val="22"/>
                <w:lang w:val="el-GR" w:eastAsia="el-GR"/>
              </w:rPr>
              <w:t>Τελική βαθμολογία τεχνικής προσφοράς</w:t>
            </w:r>
          </w:p>
        </w:tc>
      </w:tr>
    </w:tbl>
    <w:p w14:paraId="791DF5B3" w14:textId="77777777" w:rsidR="00C86F55" w:rsidRPr="00C86F55" w:rsidRDefault="00C86F55" w:rsidP="00C86F55">
      <w:pPr>
        <w:suppressAutoHyphens w:val="0"/>
        <w:spacing w:after="0" w:line="259" w:lineRule="auto"/>
        <w:rPr>
          <w:sz w:val="24"/>
          <w:lang w:val="el-GR" w:eastAsia="el-GR"/>
        </w:rPr>
      </w:pPr>
    </w:p>
    <w:bookmarkEnd w:id="36"/>
    <w:p w14:paraId="287ACB09" w14:textId="77777777" w:rsidR="00B63FC9" w:rsidRPr="00FC2FD7" w:rsidRDefault="00B63FC9" w:rsidP="00293683">
      <w:pPr>
        <w:rPr>
          <w:i/>
          <w:iCs/>
          <w:color w:val="5B9BD5"/>
          <w:lang w:val="el-GR"/>
        </w:rPr>
      </w:pPr>
    </w:p>
    <w:p w14:paraId="09CBE29A" w14:textId="77777777" w:rsidR="003929DA" w:rsidRDefault="003929DA">
      <w:pPr>
        <w:pStyle w:val="2"/>
        <w:rPr>
          <w:lang w:val="el-GR"/>
        </w:rPr>
      </w:pPr>
      <w:bookmarkStart w:id="37" w:name="_Toc129004426"/>
      <w:r>
        <w:rPr>
          <w:lang w:val="el-GR"/>
        </w:rPr>
        <w:t>2.4</w:t>
      </w:r>
      <w:r>
        <w:rPr>
          <w:lang w:val="el-GR"/>
        </w:rPr>
        <w:tab/>
        <w:t>Κατάρτιση - Περιεχόμενο Προσφορών</w:t>
      </w:r>
      <w:bookmarkEnd w:id="37"/>
    </w:p>
    <w:p w14:paraId="6DC0F6FF" w14:textId="77777777" w:rsidR="003929DA" w:rsidRDefault="003929DA">
      <w:pPr>
        <w:pStyle w:val="3"/>
        <w:rPr>
          <w:lang w:val="el-GR"/>
        </w:rPr>
      </w:pPr>
      <w:bookmarkStart w:id="38" w:name="_Toc129004427"/>
      <w:r>
        <w:rPr>
          <w:lang w:val="el-GR"/>
        </w:rPr>
        <w:t>2.4.1</w:t>
      </w:r>
      <w:r>
        <w:rPr>
          <w:lang w:val="el-GR"/>
        </w:rPr>
        <w:tab/>
        <w:t>Γενικοί όροι υποβολής προσφορών</w:t>
      </w:r>
      <w:bookmarkEnd w:id="38"/>
    </w:p>
    <w:p w14:paraId="1ED098AA" w14:textId="469A130D" w:rsidR="003929DA" w:rsidRDefault="003929DA">
      <w:pPr>
        <w:rPr>
          <w:lang w:val="el-GR"/>
        </w:rPr>
      </w:pPr>
      <w:r>
        <w:rPr>
          <w:lang w:val="el-GR"/>
        </w:rPr>
        <w:t>Οι προσφορές υποβάλλονται με βάση τις απαιτήσεις που ορίζονται στο Παράρτημα</w:t>
      </w:r>
      <w:r w:rsidR="0032639F">
        <w:rPr>
          <w:lang w:val="el-GR"/>
        </w:rPr>
        <w:t xml:space="preserve"> … </w:t>
      </w:r>
      <w:r>
        <w:rPr>
          <w:lang w:val="el-GR"/>
        </w:rPr>
        <w:t xml:space="preserve">της Διακήρυξης, για το σύνολο της </w:t>
      </w:r>
      <w:proofErr w:type="spellStart"/>
      <w:r>
        <w:rPr>
          <w:lang w:val="el-GR"/>
        </w:rPr>
        <w:t>προκηρυχθείσας</w:t>
      </w:r>
      <w:proofErr w:type="spellEnd"/>
      <w:r>
        <w:rPr>
          <w:lang w:val="el-GR"/>
        </w:rPr>
        <w:t xml:space="preserve"> ποσότητας της προμήθειας ανά είδος /τμήμα. </w:t>
      </w:r>
    </w:p>
    <w:p w14:paraId="437D6755" w14:textId="2F6E7B7C" w:rsidR="003929DA" w:rsidRDefault="003929DA">
      <w:pPr>
        <w:rPr>
          <w:rFonts w:cs="Helvetica"/>
          <w:color w:val="000000"/>
          <w:szCs w:val="22"/>
          <w:lang w:val="el-GR" w:eastAsia="el-GR"/>
        </w:rPr>
      </w:pPr>
      <w:r>
        <w:rPr>
          <w:lang w:val="el-GR"/>
        </w:rPr>
        <w:t>Δεν επιτρέπονται εναλλακτικές προσφορές</w:t>
      </w:r>
      <w:r w:rsidR="00C86F55">
        <w:rPr>
          <w:lang w:val="el-GR"/>
        </w:rPr>
        <w:t>.</w:t>
      </w:r>
    </w:p>
    <w:p w14:paraId="3CF1FCD9" w14:textId="386723FC" w:rsidR="002F73F2" w:rsidRDefault="003929DA" w:rsidP="002F73F2">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A965A3" w:rsidRPr="00A965A3">
        <w:rPr>
          <w:vertAlign w:val="superscript"/>
          <w:lang w:val="el-GR"/>
        </w:rPr>
        <w:footnoteReference w:id="93"/>
      </w:r>
      <w:r w:rsidR="00A965A3" w:rsidRPr="00A965A3">
        <w:rPr>
          <w:lang w:val="el-GR"/>
        </w:rPr>
        <w:t>.</w:t>
      </w:r>
      <w:hyperlink r:id="rId15" w:history="1"/>
      <w:hyperlink r:id="rId16" w:history="1"/>
    </w:p>
    <w:p w14:paraId="2A7DE9EC" w14:textId="77777777" w:rsidR="003929DA" w:rsidRDefault="003929DA">
      <w:pPr>
        <w:rPr>
          <w:rFonts w:cs="Helvetica"/>
          <w:color w:val="000000"/>
          <w:szCs w:val="22"/>
          <w:lang w:val="el-GR" w:eastAsia="el-GR"/>
        </w:rPr>
      </w:pPr>
    </w:p>
    <w:p w14:paraId="3B83DB73" w14:textId="748AD53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94"/>
      </w:r>
    </w:p>
    <w:p w14:paraId="4C86A703" w14:textId="77777777" w:rsidR="003929DA" w:rsidRDefault="003929DA">
      <w:pPr>
        <w:pStyle w:val="3"/>
        <w:rPr>
          <w:i/>
          <w:iCs/>
          <w:color w:val="5B9BD5"/>
          <w:lang w:val="el-GR"/>
        </w:rPr>
      </w:pPr>
      <w:bookmarkStart w:id="39" w:name="_Toc129004428"/>
      <w:r>
        <w:rPr>
          <w:lang w:val="el-GR"/>
        </w:rPr>
        <w:lastRenderedPageBreak/>
        <w:t>2.4.2</w:t>
      </w:r>
      <w:r>
        <w:rPr>
          <w:lang w:val="el-GR"/>
        </w:rPr>
        <w:tab/>
        <w:t>Χρόνος και Τρόπος υποβολής προσφορών</w:t>
      </w:r>
      <w:bookmarkEnd w:id="39"/>
      <w:r>
        <w:rPr>
          <w:lang w:val="el-GR"/>
        </w:rPr>
        <w:t xml:space="preserve"> </w:t>
      </w:r>
    </w:p>
    <w:p w14:paraId="64C20EEE" w14:textId="7F023192" w:rsidR="00E62802" w:rsidRDefault="00E62802">
      <w:pPr>
        <w:rPr>
          <w:rFonts w:cs="Arial"/>
          <w:b/>
          <w:bCs/>
          <w:lang w:val="el-GR"/>
        </w:rPr>
      </w:pPr>
    </w:p>
    <w:p w14:paraId="03C3AF6F" w14:textId="0057F48D"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r w:rsidR="00AA6147" w:rsidRPr="00ED726C">
        <w:rPr>
          <w:lang w:val="el-GR"/>
        </w:rPr>
        <w:t>εκδοθείσα</w:t>
      </w:r>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w:t>
      </w:r>
      <w:proofErr w:type="spellStart"/>
      <w:r w:rsidR="000521DC" w:rsidRPr="00FD3A4C">
        <w:rPr>
          <w:color w:val="000000"/>
          <w:lang w:val="el-GR"/>
        </w:rPr>
        <w:t>περ</w:t>
      </w:r>
      <w:proofErr w:type="spellEnd"/>
      <w:r w:rsidR="000521DC" w:rsidRPr="00FD3A4C">
        <w:rPr>
          <w:color w:val="000000"/>
          <w:lang w:val="el-GR"/>
        </w:rPr>
        <w:t xml:space="preserve">.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95"/>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υπο)φάκελο</w:t>
      </w:r>
      <w:proofErr w:type="spellEnd"/>
      <w:r>
        <w:rPr>
          <w:lang w:val="el-GR"/>
        </w:rPr>
        <w:t xml:space="preserve"> με την ένδειξη «Δικαιολογητικά </w:t>
      </w:r>
      <w:proofErr w:type="spellStart"/>
      <w:r>
        <w:rPr>
          <w:lang w:val="el-GR"/>
        </w:rPr>
        <w:t>Συμμετοχής–Τεχνική</w:t>
      </w:r>
      <w:proofErr w:type="spellEnd"/>
      <w:r>
        <w:rPr>
          <w:lang w:val="el-GR"/>
        </w:rPr>
        <w:t xml:space="preserve">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υπο)φάκελο</w:t>
      </w:r>
      <w:proofErr w:type="spellEnd"/>
      <w:r>
        <w:rPr>
          <w:lang w:val="el-GR"/>
        </w:rPr>
        <w:t xml:space="preserve">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4EA3C9D3"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w:t>
      </w:r>
      <w:proofErr w:type="spellStart"/>
      <w:r w:rsidR="00B409C7">
        <w:rPr>
          <w:lang w:val="el-GR"/>
        </w:rPr>
        <w:t>περ</w:t>
      </w:r>
      <w:proofErr w:type="spellEnd"/>
      <w:r w:rsidR="00B409C7">
        <w:rPr>
          <w:lang w:val="el-GR"/>
        </w:rPr>
        <w:t xml:space="preserve">.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lastRenderedPageBreak/>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184870">
        <w:rPr>
          <w:rStyle w:val="ad"/>
          <w:lang w:val="el-GR"/>
        </w:rPr>
        <w:footnoteReference w:id="96"/>
      </w:r>
      <w:r w:rsidR="00292883" w:rsidRPr="00292883">
        <w:rPr>
          <w:lang w:val="el-GR"/>
        </w:rPr>
        <w:t xml:space="preserve">.  </w:t>
      </w:r>
    </w:p>
    <w:p w14:paraId="25B5B691" w14:textId="77777777" w:rsidR="000521DC" w:rsidRPr="006A34C5" w:rsidRDefault="000521DC" w:rsidP="000521DC">
      <w:pPr>
        <w:spacing w:after="0"/>
        <w:rPr>
          <w:strike/>
          <w:lang w:val="el-GR"/>
        </w:rPr>
      </w:pPr>
    </w:p>
    <w:p w14:paraId="4729ADCB" w14:textId="71FB150F" w:rsidR="003929DA" w:rsidRPr="00C86F55" w:rsidRDefault="00292883" w:rsidP="00292883">
      <w:pPr>
        <w:rPr>
          <w:iCs/>
          <w:lang w:val="el-GR"/>
        </w:rPr>
      </w:pPr>
      <w:r w:rsidRPr="00C86F55">
        <w:rPr>
          <w:lang w:val="el-GR"/>
        </w:rPr>
        <w:t xml:space="preserve"> </w:t>
      </w:r>
      <w:bookmarkStart w:id="40" w:name="_Hlk71315830"/>
      <w:r w:rsidR="00355C21" w:rsidRPr="00C86F55">
        <w:rPr>
          <w:iCs/>
          <w:lang w:val="el-GR"/>
        </w:rPr>
        <w:t>Εφόσον οι τεχνικές προδιαγραφές και οι οικονομικοί όροι δεν έχουν αποτυπωθεί στο σύνολό τους στις ειδικές ηλεκτρονικές φόρμες του ΕΣΗΔΗΣ, η Αναθέτουσα Αρχή δίνει σχετικές οδηγίες</w:t>
      </w:r>
      <w:r w:rsidR="00321EA9" w:rsidRPr="00C86F55">
        <w:rPr>
          <w:iCs/>
          <w:lang w:val="el-GR"/>
        </w:rPr>
        <w:t xml:space="preserve"> στο σημείο αυτό</w:t>
      </w:r>
      <w:r w:rsidR="00355C21" w:rsidRPr="00C86F55">
        <w:rPr>
          <w:iCs/>
          <w:lang w:val="el-GR"/>
        </w:rPr>
        <w:t xml:space="preserve"> στους Οικονομικούς Φορείς να επισυνάπτουν ηλεκτρονικά υπογεγραμμένα πρόσθετα, σε σχέση με τις αναφορές (εκτυπώσεις) της παραγράφου 2.4.2.4, σχετικά ηλεκτρονικά αρχεία (ιδίως τεχνική και οικονομική προσφορά) παραπέμποντας</w:t>
      </w:r>
      <w:r w:rsidR="00757C7A" w:rsidRPr="00C86F55">
        <w:rPr>
          <w:iCs/>
          <w:lang w:val="el-GR"/>
        </w:rPr>
        <w:t>,</w:t>
      </w:r>
      <w:r w:rsidR="00355C21" w:rsidRPr="00C86F55">
        <w:rPr>
          <w:iCs/>
          <w:lang w:val="el-GR"/>
        </w:rPr>
        <w:t xml:space="preserve"> </w:t>
      </w:r>
      <w:r w:rsidR="00222C4E" w:rsidRPr="00C86F55">
        <w:rPr>
          <w:iCs/>
          <w:lang w:val="el-GR"/>
        </w:rPr>
        <w:t>αντίστοιχα</w:t>
      </w:r>
      <w:r w:rsidR="00757C7A" w:rsidRPr="00C86F55">
        <w:rPr>
          <w:iCs/>
          <w:lang w:val="el-GR"/>
        </w:rPr>
        <w:t>,</w:t>
      </w:r>
      <w:r w:rsidR="00355C21" w:rsidRPr="00C86F55">
        <w:rPr>
          <w:iCs/>
          <w:lang w:val="el-GR"/>
        </w:rPr>
        <w:t xml:space="preserve"> </w:t>
      </w:r>
      <w:r w:rsidR="00757C7A" w:rsidRPr="00C86F55">
        <w:rPr>
          <w:iCs/>
          <w:lang w:val="el-GR"/>
        </w:rPr>
        <w:t xml:space="preserve">σε </w:t>
      </w:r>
      <w:r w:rsidR="000521DC" w:rsidRPr="00C86F55">
        <w:rPr>
          <w:iCs/>
          <w:lang w:val="el-GR"/>
        </w:rPr>
        <w:t xml:space="preserve">παραγράφους </w:t>
      </w:r>
      <w:r w:rsidR="00355C21" w:rsidRPr="00C86F55">
        <w:rPr>
          <w:iCs/>
          <w:lang w:val="el-GR"/>
        </w:rPr>
        <w:t xml:space="preserve">της παρούσας διακήρυξης και στα </w:t>
      </w:r>
      <w:r w:rsidR="00222C4E" w:rsidRPr="00C86F55">
        <w:rPr>
          <w:iCs/>
          <w:lang w:val="el-GR"/>
        </w:rPr>
        <w:t xml:space="preserve">σχετικά </w:t>
      </w:r>
      <w:r w:rsidR="00355C21" w:rsidRPr="00C86F55">
        <w:rPr>
          <w:iCs/>
          <w:lang w:val="el-GR"/>
        </w:rPr>
        <w:t>παραρτήματα με τυχόν υποδείγματα τεχνικής προσφοράς ή και  οικονομικής προσφοράς.</w:t>
      </w:r>
      <w:bookmarkEnd w:id="40"/>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υπο)φακέλους</w:t>
      </w:r>
      <w:proofErr w:type="spellEnd"/>
      <w:r w:rsidR="00204DA6" w:rsidRPr="00FD3A4C">
        <w:rPr>
          <w:lang w:val="el-GR"/>
        </w:rPr>
        <w:t xml:space="preserve">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41"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97"/>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r w:rsidR="00CF2F7A">
        <w:rPr>
          <w:rStyle w:val="ad"/>
          <w:color w:val="000000"/>
          <w:lang w:val="el-GR"/>
        </w:rPr>
        <w:footnoteReference w:id="98"/>
      </w:r>
      <w:r w:rsidRPr="00FD3A4C">
        <w:rPr>
          <w:color w:val="000000"/>
          <w:lang w:val="el-GR"/>
        </w:rPr>
        <w:t>,</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99"/>
      </w:r>
    </w:p>
    <w:p w14:paraId="6AEADC2D"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100"/>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1"/>
    </w:p>
    <w:p w14:paraId="55EDE7AA" w14:textId="39FC006F" w:rsidR="008A2283" w:rsidRPr="00C86F55" w:rsidRDefault="008A2283">
      <w:pPr>
        <w:spacing w:after="144"/>
        <w:rPr>
          <w:lang w:val="el-GR"/>
        </w:rPr>
      </w:pPr>
      <w:r w:rsidRPr="00C86F55">
        <w:rPr>
          <w:iCs/>
          <w:lang w:val="el-GR"/>
        </w:rPr>
        <w:lastRenderedPageBreak/>
        <w:t xml:space="preserve">Η Αναθέτουσα Αρχή μπορεί να ορίζει επίσης ότι ο Οικονομικός Φορέας δύναται να καταχωρίζει ηλεκτρονικά αρχεία άλλων </w:t>
      </w:r>
      <w:proofErr w:type="spellStart"/>
      <w:r w:rsidRPr="00C86F55">
        <w:rPr>
          <w:iCs/>
          <w:lang w:val="el-GR"/>
        </w:rPr>
        <w:t>μορφότυπων</w:t>
      </w:r>
      <w:proofErr w:type="spellEnd"/>
      <w:r w:rsidRPr="00C86F55">
        <w:rPr>
          <w:iCs/>
          <w:lang w:val="el-GR"/>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C86F55">
        <w:rPr>
          <w:iCs/>
          <w:lang w:val="el-GR"/>
        </w:rPr>
        <w:t>μορφότυπο</w:t>
      </w:r>
      <w:proofErr w:type="spellEnd"/>
      <w:r w:rsidRPr="00C86F55">
        <w:rPr>
          <w:iCs/>
          <w:lang w:val="el-GR"/>
        </w:rPr>
        <w:t xml:space="preserve"> MPP/MPX, υπολογιστικά φύλλα σε </w:t>
      </w:r>
      <w:proofErr w:type="spellStart"/>
      <w:r w:rsidRPr="00C86F55">
        <w:rPr>
          <w:iCs/>
          <w:lang w:val="el-GR"/>
        </w:rPr>
        <w:t>μορφότυπο</w:t>
      </w:r>
      <w:proofErr w:type="spellEnd"/>
      <w:r w:rsidRPr="00C86F55">
        <w:rPr>
          <w:iCs/>
          <w:lang w:val="el-GR"/>
        </w:rPr>
        <w:t xml:space="preserve"> XLS/XLSX, βίντεο σε </w:t>
      </w:r>
      <w:proofErr w:type="spellStart"/>
      <w:r w:rsidRPr="00C86F55">
        <w:rPr>
          <w:iCs/>
          <w:lang w:val="el-GR"/>
        </w:rPr>
        <w:t>μορφότυπο</w:t>
      </w:r>
      <w:proofErr w:type="spellEnd"/>
      <w:r w:rsidRPr="00C86F55">
        <w:rPr>
          <w:iCs/>
          <w:lang w:val="el-GR"/>
        </w:rPr>
        <w:t xml:space="preserve"> MPG/AVI/MP4 κ.α.)</w:t>
      </w:r>
      <w:r w:rsidRPr="00C86F55">
        <w:rPr>
          <w:rStyle w:val="ad"/>
          <w:iCs/>
          <w:lang w:val="el-GR"/>
        </w:rPr>
        <w:footnoteReference w:id="101"/>
      </w:r>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102"/>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w:t>
      </w:r>
      <w:proofErr w:type="spellStart"/>
      <w:r w:rsidR="00274969" w:rsidRPr="008178FF">
        <w:rPr>
          <w:lang w:val="el-GR"/>
        </w:rPr>
        <w:t>α</w:t>
      </w:r>
      <w:r w:rsidR="00282EBF">
        <w:rPr>
          <w:lang w:val="el-GR"/>
        </w:rPr>
        <w:t>΄</w:t>
      </w:r>
      <w:proofErr w:type="spellEnd"/>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77777777"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103"/>
      </w:r>
      <w:r w:rsidRPr="00FD3A4C">
        <w:rPr>
          <w:lang w:val="el-GR"/>
        </w:rPr>
        <w:t xml:space="preserve">. </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FD3A4C">
        <w:rPr>
          <w:lang w:val="el-GR"/>
        </w:rPr>
        <w:t>περ</w:t>
      </w:r>
      <w:proofErr w:type="spellEnd"/>
      <w:r w:rsidRPr="00FD3A4C">
        <w:rPr>
          <w:lang w:val="el-GR"/>
        </w:rPr>
        <w:t xml:space="preserve">. </w:t>
      </w:r>
      <w:proofErr w:type="spellStart"/>
      <w:r w:rsidRPr="00FD3A4C">
        <w:rPr>
          <w:lang w:val="el-GR"/>
        </w:rPr>
        <w:t>β</w:t>
      </w:r>
      <w:r w:rsidR="00282EBF">
        <w:rPr>
          <w:lang w:val="el-GR"/>
        </w:rPr>
        <w:t>΄</w:t>
      </w:r>
      <w:proofErr w:type="spellEnd"/>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 xml:space="preserve">φέρει ο οικονομικός φορέας. Το εμπρόθεσμο </w:t>
      </w:r>
      <w:r w:rsidRPr="00FD3A4C">
        <w:rPr>
          <w:lang w:val="el-GR"/>
        </w:rPr>
        <w:lastRenderedPageBreak/>
        <w:t>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42" w:name="_Toc129004429"/>
      <w:r>
        <w:rPr>
          <w:lang w:val="el-GR"/>
        </w:rPr>
        <w:t>2.4.3</w:t>
      </w:r>
      <w:r>
        <w:rPr>
          <w:lang w:val="el-GR"/>
        </w:rPr>
        <w:tab/>
        <w:t>Περιεχόμενα Φακέλου «Δικαιολογητικά Συμμετοχής- Τεχνική Προσφορά»</w:t>
      </w:r>
      <w:bookmarkEnd w:id="42"/>
      <w:r>
        <w:rPr>
          <w:lang w:val="el-GR"/>
        </w:rPr>
        <w:t xml:space="preserve"> </w:t>
      </w:r>
    </w:p>
    <w:p w14:paraId="2FC07CD1" w14:textId="77777777" w:rsidR="003929DA" w:rsidRDefault="003929DA">
      <w:pPr>
        <w:pStyle w:val="4"/>
        <w:rPr>
          <w:lang w:val="el-GR"/>
        </w:rPr>
      </w:pPr>
      <w:bookmarkStart w:id="43" w:name="_Toc129004430"/>
      <w:r>
        <w:rPr>
          <w:lang w:val="el-GR"/>
        </w:rPr>
        <w:t>2.4.3.1 Δικαιολογητικά Συμμετοχής</w:t>
      </w:r>
      <w:bookmarkEnd w:id="43"/>
      <w:r>
        <w:rPr>
          <w:lang w:val="el-GR"/>
        </w:rPr>
        <w:t xml:space="preserve"> </w:t>
      </w:r>
    </w:p>
    <w:p w14:paraId="06811B25" w14:textId="6E770D19"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104"/>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proofErr w:type="spellStart"/>
      <w:r w:rsidR="005B4FFA" w:rsidRPr="00122C70">
        <w:rPr>
          <w:lang w:val="el-GR"/>
        </w:rPr>
        <w:t>δ</w:t>
      </w:r>
      <w:r w:rsidR="00282EBF">
        <w:rPr>
          <w:lang w:val="el-GR"/>
        </w:rPr>
        <w:t>΄</w:t>
      </w:r>
      <w:proofErr w:type="spellEnd"/>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6A90AF32" w14:textId="7C3E0306" w:rsidR="003929DA" w:rsidRPr="00C86F55" w:rsidRDefault="00322771">
      <w:pPr>
        <w:rPr>
          <w:iCs/>
          <w:lang w:val="el-GR"/>
        </w:rPr>
      </w:pPr>
      <w:r w:rsidRPr="00C86F55">
        <w:rPr>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C86F55">
        <w:rPr>
          <w:iCs/>
          <w:lang w:val="en-US"/>
        </w:rPr>
        <w:t>Promitheus</w:t>
      </w:r>
      <w:proofErr w:type="spellEnd"/>
      <w:r w:rsidRPr="00C86F55">
        <w:rPr>
          <w:iCs/>
          <w:lang w:val="el-GR"/>
        </w:rPr>
        <w:t xml:space="preserve"> </w:t>
      </w:r>
      <w:proofErr w:type="spellStart"/>
      <w:r w:rsidRPr="00C86F55">
        <w:rPr>
          <w:iCs/>
          <w:lang w:val="en-US"/>
        </w:rPr>
        <w:t>ESPDint</w:t>
      </w:r>
      <w:proofErr w:type="spellEnd"/>
      <w:r w:rsidRPr="00C86F55">
        <w:rPr>
          <w:iCs/>
          <w:lang w:val="el-GR"/>
        </w:rPr>
        <w:t xml:space="preserve"> είναι αναρτημένες σε σχετική θεματική ενότητα στη Διαδικτυακή Πύλη (</w:t>
      </w:r>
      <w:r w:rsidR="00773A36" w:rsidRPr="00C86F55">
        <w:rPr>
          <w:rStyle w:val="-"/>
          <w:iCs/>
          <w:color w:val="auto"/>
          <w:lang w:val="en-US"/>
        </w:rPr>
        <w:t>https</w:t>
      </w:r>
      <w:r w:rsidR="00773A36" w:rsidRPr="00C86F55">
        <w:rPr>
          <w:rStyle w:val="-"/>
          <w:iCs/>
          <w:color w:val="auto"/>
          <w:lang w:val="el-GR"/>
        </w:rPr>
        <w:t>://</w:t>
      </w:r>
      <w:proofErr w:type="spellStart"/>
      <w:r w:rsidR="00773A36" w:rsidRPr="00C86F55">
        <w:rPr>
          <w:rStyle w:val="-"/>
          <w:iCs/>
          <w:color w:val="auto"/>
          <w:lang w:val="en-US"/>
        </w:rPr>
        <w:t>espd</w:t>
      </w:r>
      <w:proofErr w:type="spellEnd"/>
      <w:r w:rsidR="00773A36" w:rsidRPr="00C86F55">
        <w:rPr>
          <w:rStyle w:val="-"/>
          <w:iCs/>
          <w:color w:val="auto"/>
          <w:lang w:val="el-GR"/>
        </w:rPr>
        <w:t>.</w:t>
      </w:r>
      <w:proofErr w:type="spellStart"/>
      <w:r w:rsidR="00773A36" w:rsidRPr="00C86F55">
        <w:rPr>
          <w:rStyle w:val="-"/>
          <w:iCs/>
          <w:color w:val="auto"/>
          <w:lang w:val="en-US"/>
        </w:rPr>
        <w:t>eprocurement</w:t>
      </w:r>
      <w:proofErr w:type="spellEnd"/>
      <w:r w:rsidR="00773A36" w:rsidRPr="00C86F55">
        <w:rPr>
          <w:rStyle w:val="-"/>
          <w:iCs/>
          <w:color w:val="auto"/>
          <w:lang w:val="el-GR"/>
        </w:rPr>
        <w:t>.</w:t>
      </w:r>
      <w:proofErr w:type="spellStart"/>
      <w:r w:rsidR="00773A36" w:rsidRPr="00C86F55">
        <w:rPr>
          <w:rStyle w:val="-"/>
          <w:iCs/>
          <w:color w:val="auto"/>
          <w:lang w:val="en-US"/>
        </w:rPr>
        <w:t>gov</w:t>
      </w:r>
      <w:proofErr w:type="spellEnd"/>
      <w:r w:rsidR="00773A36" w:rsidRPr="00C86F55">
        <w:rPr>
          <w:rStyle w:val="-"/>
          <w:iCs/>
          <w:color w:val="auto"/>
          <w:lang w:val="el-GR"/>
        </w:rPr>
        <w:t>.</w:t>
      </w:r>
      <w:r w:rsidR="00773A36" w:rsidRPr="00C86F55">
        <w:rPr>
          <w:rStyle w:val="-"/>
          <w:iCs/>
          <w:color w:val="auto"/>
          <w:lang w:val="en-US"/>
        </w:rPr>
        <w:t>gr</w:t>
      </w:r>
      <w:r w:rsidR="00773A36" w:rsidRPr="00C86F55">
        <w:rPr>
          <w:rStyle w:val="-"/>
          <w:iCs/>
          <w:color w:val="auto"/>
          <w:lang w:val="el-GR"/>
        </w:rPr>
        <w:t xml:space="preserve">/ </w:t>
      </w:r>
      <w:r w:rsidRPr="00C86F55">
        <w:rPr>
          <w:iCs/>
          <w:lang w:val="el-GR"/>
        </w:rPr>
        <w:t>) του ΟΠΣ ΕΣΗΔΗΣ.</w:t>
      </w:r>
    </w:p>
    <w:p w14:paraId="4B9DFF62" w14:textId="77777777" w:rsidR="003929DA" w:rsidRDefault="003929DA">
      <w:pPr>
        <w:rPr>
          <w:lang w:val="el-GR"/>
        </w:rPr>
      </w:pPr>
    </w:p>
    <w:p w14:paraId="075B33DD" w14:textId="77777777" w:rsidR="003929DA" w:rsidRPr="00BD65F6" w:rsidRDefault="003929DA">
      <w:pPr>
        <w:pStyle w:val="4"/>
        <w:rPr>
          <w:lang w:val="el-GR"/>
        </w:rPr>
      </w:pPr>
      <w:bookmarkStart w:id="44" w:name="_Toc129004431"/>
      <w:r>
        <w:rPr>
          <w:lang w:val="el-GR"/>
        </w:rPr>
        <w:t>2.4.3.2 Τεχνική προσφορά</w:t>
      </w:r>
      <w:bookmarkEnd w:id="44"/>
    </w:p>
    <w:p w14:paraId="50E14FEB" w14:textId="1A6CF845"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00017A">
        <w:rPr>
          <w:lang w:val="el-GR"/>
        </w:rPr>
        <w:t>Ι</w:t>
      </w:r>
      <w:r w:rsidR="005352FD" w:rsidRPr="00773A36">
        <w:rPr>
          <w:lang w:val="el-GR"/>
        </w:rPr>
        <w:t xml:space="preserve"> </w:t>
      </w:r>
      <w:r w:rsidRPr="00773A36">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A6F04">
        <w:rPr>
          <w:rStyle w:val="WW-FootnoteReference9"/>
          <w:lang w:val="el-GR"/>
        </w:rPr>
        <w:footnoteReference w:id="105"/>
      </w:r>
      <w:r w:rsidRPr="000A6F04">
        <w:rPr>
          <w:lang w:val="el-GR"/>
        </w:rPr>
        <w:t xml:space="preserve"> </w:t>
      </w:r>
      <w:r w:rsidRPr="000A6F04">
        <w:rPr>
          <w:rStyle w:val="WW-FootnoteReference9"/>
          <w:lang w:val="el-GR"/>
        </w:rPr>
        <w:footnoteReference w:id="106"/>
      </w:r>
      <w:r w:rsidRPr="000A6F04">
        <w:rPr>
          <w:rStyle w:val="WW-FootnoteReference9"/>
          <w:lang w:val="el-GR"/>
        </w:rPr>
        <w:t>.</w:t>
      </w:r>
      <w:r>
        <w:rPr>
          <w:lang w:val="el-GR"/>
        </w:rPr>
        <w:t xml:space="preserve"> </w:t>
      </w:r>
    </w:p>
    <w:p w14:paraId="695365E1" w14:textId="77777777" w:rsidR="00052D56" w:rsidRDefault="003929DA">
      <w:pPr>
        <w:rPr>
          <w:lang w:val="el-GR"/>
        </w:rPr>
      </w:pPr>
      <w:r>
        <w:rPr>
          <w:lang w:val="el-GR"/>
        </w:rPr>
        <w:t>Οι οικονομικοί φορείς αναφέρουν</w:t>
      </w:r>
      <w:r w:rsidR="00052D56">
        <w:rPr>
          <w:lang w:val="el-GR"/>
        </w:rPr>
        <w:t xml:space="preserve">: </w:t>
      </w:r>
    </w:p>
    <w:p w14:paraId="3F78578F" w14:textId="77777777" w:rsidR="003929DA" w:rsidRDefault="00052D56">
      <w:pPr>
        <w:rPr>
          <w:lang w:val="el-GR"/>
        </w:rPr>
      </w:pPr>
      <w:r>
        <w:rPr>
          <w:lang w:val="el-GR"/>
        </w:rPr>
        <w:lastRenderedPageBreak/>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107"/>
      </w:r>
      <w:r w:rsidR="003929DA">
        <w:rPr>
          <w:lang w:val="el-GR"/>
        </w:rPr>
        <w:t>.</w:t>
      </w:r>
    </w:p>
    <w:p w14:paraId="06C3D53B" w14:textId="1C57957E" w:rsidR="0053703A" w:rsidRDefault="00052D56" w:rsidP="0053703A">
      <w:pPr>
        <w:rPr>
          <w:i/>
          <w:iCs/>
          <w:color w:val="5B9BD5"/>
          <w:lang w:val="el-GR"/>
        </w:rPr>
      </w:pPr>
      <w:r>
        <w:rPr>
          <w:lang w:val="el-GR"/>
        </w:rPr>
        <w:t xml:space="preserve">β) </w:t>
      </w:r>
      <w:r w:rsidR="0053703A" w:rsidRPr="0053703A">
        <w:rPr>
          <w:lang w:val="el-GR"/>
        </w:rPr>
        <w:t>τη χώρα παραγωγής του προσφερόμενου προϊόντος και</w:t>
      </w:r>
      <w:r>
        <w:rPr>
          <w:lang w:val="el-GR"/>
        </w:rPr>
        <w:t xml:space="preserve"> </w:t>
      </w:r>
      <w:r w:rsidR="0053703A" w:rsidRPr="0053703A">
        <w:rPr>
          <w:lang w:val="el-GR"/>
        </w:rPr>
        <w:t>την επιχειρηματική μονάδα στην οποία παράγεται</w:t>
      </w:r>
      <w:r>
        <w:rPr>
          <w:lang w:val="el-GR"/>
        </w:rPr>
        <w:t xml:space="preserve"> αυτό</w:t>
      </w:r>
      <w:r w:rsidR="0053703A" w:rsidRPr="0053703A">
        <w:rPr>
          <w:lang w:val="el-GR"/>
        </w:rPr>
        <w:t xml:space="preserve">, καθώς και τον τόπο εγκατάστασής </w:t>
      </w:r>
      <w:r>
        <w:rPr>
          <w:lang w:val="el-GR"/>
        </w:rPr>
        <w:t xml:space="preserve">της. </w:t>
      </w:r>
    </w:p>
    <w:p w14:paraId="21D7E877" w14:textId="77777777" w:rsidR="003929DA" w:rsidRDefault="003929DA">
      <w:pPr>
        <w:pStyle w:val="3"/>
        <w:rPr>
          <w:lang w:val="el-GR"/>
        </w:rPr>
      </w:pPr>
      <w:bookmarkStart w:id="45" w:name="_Toc129004432"/>
      <w:r>
        <w:rPr>
          <w:lang w:val="el-GR"/>
        </w:rPr>
        <w:t>2.4.4</w:t>
      </w:r>
      <w:r>
        <w:rPr>
          <w:lang w:val="el-GR"/>
        </w:rPr>
        <w:tab/>
        <w:t>Περιεχόμενα Φακέλου «Οικονομική Προσφορά» / Τρόπος σύνταξης και υποβολής οικονομικών προσφορών</w:t>
      </w:r>
      <w:bookmarkEnd w:id="45"/>
    </w:p>
    <w:p w14:paraId="72FDE143" w14:textId="3C130ACB" w:rsidR="003929DA" w:rsidRDefault="003929DA">
      <w:pPr>
        <w:rPr>
          <w:i/>
          <w:color w:val="5B9BD5"/>
          <w:lang w:val="el-GR" w:eastAsia="el-GR"/>
        </w:rPr>
      </w:pPr>
      <w:r>
        <w:rPr>
          <w:lang w:val="el-GR"/>
        </w:rPr>
        <w:t>Η Οικονομική Προσφορά</w:t>
      </w:r>
      <w:r w:rsidR="00B76F96">
        <w:rPr>
          <w:rStyle w:val="ad"/>
          <w:lang w:val="el-GR"/>
        </w:rPr>
        <w:footnoteReference w:id="108"/>
      </w:r>
      <w:r>
        <w:rPr>
          <w:lang w:val="el-GR"/>
        </w:rPr>
        <w:t xml:space="preserve"> συντάσσεται με βάση το αναγραφόμενο στην παρούσα κριτήριο ανάθεσης </w:t>
      </w:r>
      <w:r w:rsidR="00C86F55">
        <w:rPr>
          <w:lang w:val="el-GR"/>
        </w:rPr>
        <w:t xml:space="preserve">  όπως ορίζεται κατωτέρω, </w:t>
      </w:r>
      <w:r>
        <w:rPr>
          <w:lang w:val="el-GR"/>
        </w:rPr>
        <w:t xml:space="preserve">σύμφωνα με τα οριζόμενα στο Παράρτημα </w:t>
      </w:r>
      <w:r w:rsidR="0000017A">
        <w:rPr>
          <w:lang w:val="el-GR"/>
        </w:rPr>
        <w:t xml:space="preserve">Ι </w:t>
      </w:r>
      <w:r>
        <w:rPr>
          <w:lang w:val="el-GR"/>
        </w:rPr>
        <w:t xml:space="preserve">της διακήρυξης: </w:t>
      </w:r>
    </w:p>
    <w:p w14:paraId="3A42D3D1" w14:textId="67D03F2B" w:rsidR="003929DA" w:rsidRPr="00C86F55" w:rsidRDefault="003929DA">
      <w:pPr>
        <w:rPr>
          <w:lang w:val="el-GR" w:eastAsia="el-GR"/>
        </w:rPr>
      </w:pPr>
      <w:r w:rsidRPr="00C86F55">
        <w:rPr>
          <w:lang w:val="el-GR" w:eastAsia="el-GR"/>
        </w:rPr>
        <w:t>ΠΡΟΣΦΟΡΑ ΜΕ ΤΙΜΗ ΜΟΝΑΔΑΣ</w:t>
      </w:r>
    </w:p>
    <w:p w14:paraId="30C4DC0F" w14:textId="22371567" w:rsidR="003929DA" w:rsidRDefault="003929DA">
      <w:pPr>
        <w:rPr>
          <w:lang w:val="el-GR"/>
        </w:rPr>
      </w:pPr>
      <w:r>
        <w:rPr>
          <w:lang w:val="el-GR" w:eastAsia="el-GR"/>
        </w:rPr>
        <w:t xml:space="preserve">Η τιμή του προς προμήθεια αγαθού </w:t>
      </w:r>
      <w:r>
        <w:rPr>
          <w:i/>
          <w:color w:val="5B9BD5"/>
          <w:lang w:val="el-GR" w:eastAsia="el-GR"/>
        </w:rPr>
        <w:t xml:space="preserve"> </w:t>
      </w:r>
      <w:r>
        <w:rPr>
          <w:lang w:val="el-GR" w:eastAsia="el-GR"/>
        </w:rPr>
        <w:t>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109"/>
      </w:r>
    </w:p>
    <w:p w14:paraId="5758D467" w14:textId="76C6A765"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5D949BD" w14:textId="77777777" w:rsidR="003929DA" w:rsidRDefault="003929DA">
      <w:pPr>
        <w:rPr>
          <w:lang w:val="el-GR"/>
        </w:rPr>
      </w:pPr>
      <w:r>
        <w:rPr>
          <w:lang w:val="el-GR"/>
        </w:rPr>
        <w:t>Οι υπέρ τρίτων κρατήσεις υπόκεινται στο εκάστοτε ισχύον αναλογικό τέλος χαρτοσήμου …</w:t>
      </w:r>
      <w:r w:rsidR="00AE3855">
        <w:rPr>
          <w:lang w:val="el-GR"/>
        </w:rPr>
        <w:t xml:space="preserve"> </w:t>
      </w:r>
      <w:r>
        <w:rPr>
          <w:lang w:val="el-GR"/>
        </w:rPr>
        <w:t>% και στην επ’ αυτού εισφορά υπέρ ΟΓΑ …</w:t>
      </w:r>
      <w:r w:rsidR="00AE3855">
        <w:rPr>
          <w:lang w:val="el-GR"/>
        </w:rPr>
        <w:t xml:space="preserve"> </w:t>
      </w:r>
      <w:r>
        <w:rPr>
          <w:lang w:val="el-GR"/>
        </w:rPr>
        <w:t>%.</w:t>
      </w:r>
    </w:p>
    <w:p w14:paraId="7BEE94B9" w14:textId="77777777" w:rsidR="00A811EA" w:rsidRPr="00802C51" w:rsidRDefault="003929DA">
      <w:pPr>
        <w:rPr>
          <w:lang w:val="el-GR"/>
        </w:rPr>
      </w:pPr>
      <w:r w:rsidRPr="00802C51">
        <w:rPr>
          <w:lang w:val="el-GR"/>
        </w:rPr>
        <w:t xml:space="preserve">Οι προσφερόμενες τιμές είναι σταθερές καθ’ όλη τη διάρκεια της σύμβασης και δεν αναπροσαρμόζονται </w:t>
      </w:r>
    </w:p>
    <w:p w14:paraId="169024FB" w14:textId="77777777"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14:paraId="75E48CD5" w14:textId="77777777" w:rsidR="003929DA" w:rsidRDefault="003929DA">
      <w:pPr>
        <w:pStyle w:val="3"/>
        <w:rPr>
          <w:lang w:val="el-GR" w:eastAsia="el-GR"/>
        </w:rPr>
      </w:pPr>
      <w:bookmarkStart w:id="46" w:name="_Toc129004433"/>
      <w:r>
        <w:rPr>
          <w:lang w:val="el-GR"/>
        </w:rPr>
        <w:t>2.4.5</w:t>
      </w:r>
      <w:r>
        <w:rPr>
          <w:lang w:val="el-GR"/>
        </w:rPr>
        <w:tab/>
        <w:t>Χρόνος ισχύος των προσφορών</w:t>
      </w:r>
      <w:r>
        <w:rPr>
          <w:rStyle w:val="WW-FootnoteReference9"/>
          <w:lang w:val="el-GR"/>
        </w:rPr>
        <w:footnoteReference w:id="110"/>
      </w:r>
      <w:bookmarkEnd w:id="46"/>
      <w:r>
        <w:rPr>
          <w:lang w:val="el-GR"/>
        </w:rPr>
        <w:t xml:space="preserve">  </w:t>
      </w:r>
    </w:p>
    <w:p w14:paraId="5BFBD12C" w14:textId="28C3A077"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784727" w:rsidRPr="00784727">
        <w:rPr>
          <w:lang w:val="el-GR" w:eastAsia="el-GR"/>
        </w:rPr>
        <w:t>έξη (6) μηνών</w:t>
      </w:r>
      <w:r>
        <w:rPr>
          <w:lang w:val="el-GR" w:eastAsia="el-GR"/>
        </w:rPr>
        <w:t xml:space="preserve"> από την επόμενη της </w:t>
      </w:r>
      <w:r w:rsidR="00CD64AC">
        <w:rPr>
          <w:lang w:val="el-GR" w:eastAsia="el-GR"/>
        </w:rPr>
        <w:t>καταληκτικής ημερομηνίας υποβολής προσφορών</w:t>
      </w:r>
      <w:r w:rsidR="00784727">
        <w:rPr>
          <w:lang w:val="el-GR" w:eastAsia="el-GR"/>
        </w:rPr>
        <w:t>.</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w:t>
      </w:r>
      <w:r>
        <w:rPr>
          <w:lang w:val="el-GR"/>
        </w:rPr>
        <w:lastRenderedPageBreak/>
        <w:t>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77777777" w:rsidR="003929DA" w:rsidRPr="00BD65F6" w:rsidRDefault="003929DA">
      <w:pPr>
        <w:pStyle w:val="3"/>
        <w:rPr>
          <w:lang w:val="el-GR"/>
        </w:rPr>
      </w:pPr>
      <w:bookmarkStart w:id="47" w:name="_Toc129004434"/>
      <w:r>
        <w:rPr>
          <w:lang w:val="el-GR"/>
        </w:rPr>
        <w:t>2.4.6</w:t>
      </w:r>
      <w:r>
        <w:rPr>
          <w:lang w:val="el-GR"/>
        </w:rPr>
        <w:tab/>
        <w:t>Λόγοι απόρριψης προσφορών</w:t>
      </w:r>
      <w:r>
        <w:rPr>
          <w:rStyle w:val="41"/>
          <w:lang w:val="el-GR"/>
        </w:rPr>
        <w:footnoteReference w:id="111"/>
      </w:r>
      <w:bookmarkEnd w:id="47"/>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77777777"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lang w:val="el-GR"/>
        </w:rPr>
        <w:footnoteReference w:id="112"/>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265EEACC" w:rsidR="003929DA" w:rsidRDefault="003929DA">
      <w:pPr>
        <w:rPr>
          <w:lang w:val="el-GR"/>
        </w:rPr>
      </w:pPr>
      <w:r>
        <w:rPr>
          <w:lang w:val="el-GR"/>
        </w:rPr>
        <w:t xml:space="preserve">δ) η οποία είναι εναλλακτική προσφορά, </w:t>
      </w:r>
    </w:p>
    <w:p w14:paraId="58AF328F" w14:textId="04E16A13"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sidR="00784727">
        <w:rPr>
          <w:lang w:val="el-GR"/>
        </w:rPr>
        <w:t>.</w:t>
      </w:r>
      <w:r>
        <w:rPr>
          <w:lang w:val="el-GR"/>
        </w:rPr>
        <w:t xml:space="preserve"> Ο περιορισμός αυτός ισχύει, υπό τους όρους της παραγράφου 2.2.3.4 </w:t>
      </w:r>
      <w:proofErr w:type="spellStart"/>
      <w:r>
        <w:rPr>
          <w:lang w:val="el-GR"/>
        </w:rPr>
        <w:t>περ</w:t>
      </w:r>
      <w:proofErr w:type="spellEnd"/>
      <w:r>
        <w:rPr>
          <w:lang w:val="el-GR"/>
        </w:rPr>
        <w:t>.</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4338AD0" w14:textId="77777777" w:rsidR="003929DA" w:rsidRDefault="00CB3E18">
      <w:pPr>
        <w:rPr>
          <w:lang w:val="el-GR"/>
        </w:rPr>
      </w:pPr>
      <w:r>
        <w:rPr>
          <w:lang w:val="el-GR"/>
        </w:rPr>
        <w:t>στ</w:t>
      </w:r>
      <w:r w:rsidR="003929DA">
        <w:rPr>
          <w:lang w:val="el-GR"/>
        </w:rPr>
        <w:t>) η οποία είναι υπό αίρεση,</w:t>
      </w:r>
    </w:p>
    <w:p w14:paraId="586138DC" w14:textId="6C148256" w:rsidR="003929DA" w:rsidRDefault="00CB3E18">
      <w:pPr>
        <w:rPr>
          <w:lang w:val="el-GR"/>
        </w:rPr>
      </w:pPr>
      <w:r w:rsidRPr="00802C51">
        <w:rPr>
          <w:lang w:val="el-GR"/>
        </w:rPr>
        <w:t>ζ</w:t>
      </w:r>
      <w:r w:rsidR="003929DA" w:rsidRPr="00802C51">
        <w:rPr>
          <w:lang w:val="el-GR"/>
        </w:rPr>
        <w:t>) 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r>
        <w:rPr>
          <w:lang w:val="el-GR"/>
        </w:rPr>
        <w:t>ια</w:t>
      </w:r>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r>
        <w:rPr>
          <w:szCs w:val="22"/>
          <w:lang w:val="el-GR"/>
        </w:rPr>
        <w:lastRenderedPageBreak/>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48" w:name="_Toc129004435"/>
      <w:r>
        <w:rPr>
          <w:lang w:val="el-GR"/>
        </w:rPr>
        <w:lastRenderedPageBreak/>
        <w:t>3.</w:t>
      </w:r>
      <w:r>
        <w:rPr>
          <w:lang w:val="el-GR"/>
        </w:rPr>
        <w:tab/>
        <w:t>ΔΙΕΝΕΡΓΕΙΑ ΔΙΑΔΙΚΑΣΙΑΣ - ΑΞΙΟΛΟΓΗΣΗ ΠΡΟΣΦΟΡΩΝ</w:t>
      </w:r>
      <w:bookmarkEnd w:id="48"/>
      <w:r>
        <w:rPr>
          <w:lang w:val="el-GR"/>
        </w:rPr>
        <w:t xml:space="preserve">  </w:t>
      </w:r>
    </w:p>
    <w:p w14:paraId="55ADD4BD" w14:textId="77777777" w:rsidR="003929DA" w:rsidRDefault="003929DA">
      <w:pPr>
        <w:pStyle w:val="2"/>
        <w:spacing w:after="60"/>
        <w:textAlignment w:val="baseline"/>
        <w:rPr>
          <w:kern w:val="1"/>
          <w:lang w:val="el-GR"/>
        </w:rPr>
      </w:pPr>
      <w:bookmarkStart w:id="49" w:name="_Toc129004436"/>
      <w:r>
        <w:rPr>
          <w:lang w:val="el-GR"/>
        </w:rPr>
        <w:t xml:space="preserve">3.1 </w:t>
      </w:r>
      <w:r>
        <w:rPr>
          <w:lang w:val="el-GR"/>
        </w:rPr>
        <w:tab/>
        <w:t>Αποσφράγιση και αξιολόγηση προσφορών</w:t>
      </w:r>
      <w:bookmarkEnd w:id="49"/>
      <w:r>
        <w:rPr>
          <w:lang w:val="el-GR"/>
        </w:rPr>
        <w:t xml:space="preserve"> </w:t>
      </w:r>
    </w:p>
    <w:p w14:paraId="08C73B84" w14:textId="77777777" w:rsidR="003929DA" w:rsidRDefault="003929DA">
      <w:pPr>
        <w:pStyle w:val="3"/>
        <w:rPr>
          <w:kern w:val="1"/>
          <w:lang w:val="el-GR"/>
        </w:rPr>
      </w:pPr>
      <w:bookmarkStart w:id="50" w:name="_Toc129004437"/>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13"/>
      </w:r>
      <w:bookmarkEnd w:id="50"/>
    </w:p>
    <w:p w14:paraId="5E42FD29" w14:textId="2D64896C"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ρχής, ήτοι η επιτροπή διενέργειας/επιτροπή αξιολόγησης</w:t>
      </w:r>
      <w:r w:rsidRPr="00C348A0">
        <w:rPr>
          <w:kern w:val="1"/>
          <w:vertAlign w:val="superscript"/>
          <w:lang w:val="el-GR"/>
        </w:rPr>
        <w:footnoteReference w:id="114"/>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3E1EDB31" w14:textId="77777777" w:rsidR="00DF50DA" w:rsidRPr="009E5776" w:rsidRDefault="00DF50DA" w:rsidP="00DF50DA">
      <w:pPr>
        <w:numPr>
          <w:ilvl w:val="0"/>
          <w:numId w:val="10"/>
        </w:numPr>
        <w:spacing w:after="60"/>
        <w:textAlignment w:val="baseline"/>
        <w:rPr>
          <w:kern w:val="1"/>
          <w:lang w:val="el-GR"/>
        </w:rPr>
      </w:pPr>
      <w:r w:rsidRPr="009E5776">
        <w:rPr>
          <w:kern w:val="1"/>
          <w:lang w:val="el-GR"/>
        </w:rPr>
        <w:t>Ηλεκτρονική Αποσφράγιση του (</w:t>
      </w:r>
      <w:proofErr w:type="spellStart"/>
      <w:r w:rsidRPr="009E5776">
        <w:rPr>
          <w:kern w:val="1"/>
          <w:lang w:val="el-GR"/>
        </w:rPr>
        <w:t>υπό)φακέλου</w:t>
      </w:r>
      <w:proofErr w:type="spellEnd"/>
      <w:r w:rsidRPr="009E5776">
        <w:rPr>
          <w:kern w:val="1"/>
          <w:lang w:val="el-GR"/>
        </w:rPr>
        <w:t xml:space="preserve"> «Δικαιολογητικά Συμμετοχής-Τεχνική Προσφορά», την</w:t>
      </w:r>
      <w:r>
        <w:rPr>
          <w:kern w:val="1"/>
          <w:lang w:val="el-GR"/>
        </w:rPr>
        <w:t xml:space="preserve"> </w:t>
      </w:r>
      <w:r w:rsidRPr="009E5776">
        <w:rPr>
          <w:kern w:val="1"/>
          <w:lang w:val="el-GR"/>
        </w:rPr>
        <w:t>...</w:t>
      </w:r>
      <w:r>
        <w:rPr>
          <w:kern w:val="1"/>
          <w:lang w:val="el-GR"/>
        </w:rPr>
        <w:t xml:space="preserve"> </w:t>
      </w:r>
      <w:r w:rsidRPr="009E5776">
        <w:rPr>
          <w:kern w:val="1"/>
          <w:lang w:val="el-GR"/>
        </w:rPr>
        <w:t>και ώρα</w:t>
      </w:r>
      <w:r>
        <w:rPr>
          <w:kern w:val="1"/>
          <w:lang w:val="el-GR"/>
        </w:rPr>
        <w:t xml:space="preserve"> </w:t>
      </w:r>
      <w:r w:rsidRPr="009E5776">
        <w:rPr>
          <w:kern w:val="1"/>
          <w:lang w:val="el-GR"/>
        </w:rPr>
        <w:t>...</w:t>
      </w:r>
      <w:r>
        <w:rPr>
          <w:kern w:val="1"/>
          <w:lang w:val="el-GR"/>
        </w:rPr>
        <w:t xml:space="preserve"> </w:t>
      </w:r>
    </w:p>
    <w:p w14:paraId="40CBC762" w14:textId="4000C986" w:rsidR="00DF50DA" w:rsidRPr="009E5776" w:rsidRDefault="00DF50DA" w:rsidP="00DF50DA">
      <w:pPr>
        <w:numPr>
          <w:ilvl w:val="0"/>
          <w:numId w:val="10"/>
        </w:numPr>
        <w:spacing w:after="60"/>
        <w:textAlignment w:val="baseline"/>
        <w:rPr>
          <w:kern w:val="1"/>
          <w:lang w:val="el-GR"/>
        </w:rPr>
      </w:pPr>
      <w:r w:rsidRPr="009E5776">
        <w:rPr>
          <w:kern w:val="1"/>
          <w:lang w:val="el-GR"/>
        </w:rPr>
        <w:t>Ηλεκτρονική Αποσφράγιση του (</w:t>
      </w:r>
      <w:proofErr w:type="spellStart"/>
      <w:r w:rsidRPr="009E5776">
        <w:rPr>
          <w:kern w:val="1"/>
          <w:lang w:val="el-GR"/>
        </w:rPr>
        <w:t>υπό)φακέλου</w:t>
      </w:r>
      <w:proofErr w:type="spellEnd"/>
      <w:r w:rsidRPr="009E5776">
        <w:rPr>
          <w:kern w:val="1"/>
          <w:lang w:val="el-GR"/>
        </w:rPr>
        <w:t xml:space="preserve"> «Οικονομική Προσφορά», κατά την ημερομηνία και ώρα που θα ορίσει η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p>
    <w:p w14:paraId="64ACD99C" w14:textId="77777777" w:rsidR="009E5776" w:rsidRPr="009E5776" w:rsidRDefault="009E5776" w:rsidP="009E5776">
      <w:pPr>
        <w:spacing w:after="60"/>
        <w:textAlignment w:val="baseline"/>
        <w:rPr>
          <w:kern w:val="1"/>
          <w:lang w:val="el-GR"/>
        </w:rPr>
      </w:pPr>
    </w:p>
    <w:p w14:paraId="56251BCC" w14:textId="36685185"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8606B8">
        <w:rPr>
          <w:rStyle w:val="ad"/>
          <w:kern w:val="1"/>
          <w:lang w:val="el-GR"/>
        </w:rPr>
        <w:footnoteReference w:id="115"/>
      </w:r>
      <w:r w:rsidR="00DF50DA" w:rsidRPr="0032639F">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51" w:name="_Toc129004438"/>
      <w:r>
        <w:rPr>
          <w:lang w:val="el-GR"/>
        </w:rPr>
        <w:t>3.1.2</w:t>
      </w:r>
      <w:r>
        <w:rPr>
          <w:lang w:val="el-GR"/>
        </w:rPr>
        <w:tab/>
        <w:t>Αξιολόγηση προσφορών</w:t>
      </w:r>
      <w:bookmarkEnd w:id="51"/>
    </w:p>
    <w:p w14:paraId="02E1426B" w14:textId="1AF7213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116"/>
      </w:r>
      <w:r w:rsidR="003929DA">
        <w:rPr>
          <w:kern w:val="1"/>
          <w:lang w:val="el-GR"/>
        </w:rPr>
        <w:t>, εφαρμοζόμενων κατά τα λοιπά των κειμένων διατάξεων.</w:t>
      </w:r>
    </w:p>
    <w:p w14:paraId="16BDA62A" w14:textId="6AC785B6"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rStyle w:val="ad"/>
          <w:kern w:val="1"/>
          <w:lang w:val="el-GR"/>
        </w:rPr>
        <w:footnoteReference w:id="117"/>
      </w:r>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lastRenderedPageBreak/>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του αποφαινομένου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20625626" w14:textId="63342C94"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r w:rsidR="009331F9">
        <w:rPr>
          <w:rStyle w:val="ad"/>
          <w:rFonts w:asciiTheme="minorHAnsi" w:hAnsiTheme="minorHAnsi" w:cstheme="minorHAnsi"/>
          <w:i/>
          <w:kern w:val="1"/>
          <w:szCs w:val="22"/>
          <w:lang w:val="el-GR"/>
        </w:rPr>
        <w:footnoteReference w:id="118"/>
      </w:r>
    </w:p>
    <w:p w14:paraId="09A94DE2" w14:textId="77777777" w:rsidR="00923806" w:rsidRPr="000A6F04" w:rsidRDefault="00923806">
      <w:pPr>
        <w:textAlignment w:val="baseline"/>
        <w:rPr>
          <w:rFonts w:asciiTheme="minorHAnsi" w:hAnsiTheme="minorHAnsi" w:cstheme="minorHAnsi"/>
          <w:kern w:val="1"/>
          <w:szCs w:val="22"/>
          <w:lang w:val="el-GR"/>
        </w:rPr>
      </w:pPr>
    </w:p>
    <w:p w14:paraId="0DEAC6A4" w14:textId="77777777" w:rsidR="00923806" w:rsidRDefault="00923806">
      <w:pPr>
        <w:textAlignment w:val="baseline"/>
        <w:rPr>
          <w:kern w:val="1"/>
          <w:lang w:val="el-GR"/>
        </w:rPr>
      </w:pP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1AA39E03" w14:textId="77777777" w:rsidR="00312742" w:rsidRPr="00570C40" w:rsidRDefault="003929DA" w:rsidP="008541E7">
      <w:pPr>
        <w:textAlignment w:val="baseline"/>
        <w:rPr>
          <w:b/>
          <w:bCs/>
          <w:strike/>
          <w:kern w:val="1"/>
          <w:lang w:val="el-GR" w:eastAsia="zh-CN"/>
        </w:rPr>
      </w:pPr>
      <w:r w:rsidRPr="00570C40">
        <w:rPr>
          <w:kern w:val="1"/>
          <w:lang w:val="el-GR"/>
        </w:rPr>
        <w:t xml:space="preserve">α) </w:t>
      </w:r>
      <w:r w:rsidR="00312742" w:rsidRPr="00570C40">
        <w:rPr>
          <w:kern w:val="1"/>
          <w:lang w:val="el-GR"/>
        </w:rPr>
        <w:t>Η Επιτροπή Διαγωνισμού εξετάζει αρχικά  την προσκόμιση της εγγύησης συμμετοχής</w:t>
      </w:r>
      <w:r w:rsidR="00992B68" w:rsidRPr="00570C40">
        <w:rPr>
          <w:kern w:val="1"/>
          <w:lang w:val="el-GR"/>
        </w:rPr>
        <w:t>,</w:t>
      </w:r>
      <w:r w:rsidR="00312742" w:rsidRPr="00570C40">
        <w:rPr>
          <w:kern w:val="1"/>
          <w:lang w:val="el-GR"/>
        </w:rPr>
        <w:t xml:space="preserve"> σύμφωνα με την παρ. 1 του άρθρου 72. </w:t>
      </w:r>
      <w:r w:rsidR="00CB3E18" w:rsidRPr="00570C40">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312742" w:rsidRPr="00570C40">
        <w:rPr>
          <w:kern w:val="1"/>
          <w:lang w:val="el-GR"/>
        </w:rPr>
        <w:t xml:space="preserve">η Επιτροπή Διαγωνισμού </w:t>
      </w:r>
      <w:r w:rsidR="00312742" w:rsidRPr="00570C40">
        <w:rPr>
          <w:kern w:val="1"/>
          <w:lang w:val="el-GR" w:eastAsia="zh-CN"/>
        </w:rPr>
        <w:t xml:space="preserve">συντάσσει πρακτικό στο οποίο εισηγείται την απόρριψη της προσφοράς ως απαράδεκτης. </w:t>
      </w:r>
    </w:p>
    <w:p w14:paraId="11F192A3" w14:textId="77777777" w:rsidR="00312742" w:rsidRPr="00570C40" w:rsidRDefault="008541E7" w:rsidP="00312742">
      <w:pPr>
        <w:textAlignment w:val="baseline"/>
        <w:rPr>
          <w:kern w:val="1"/>
          <w:lang w:val="el-GR" w:eastAsia="zh-CN"/>
        </w:rPr>
      </w:pPr>
      <w:r w:rsidRPr="00570C40">
        <w:rPr>
          <w:kern w:val="1"/>
          <w:lang w:val="el-GR" w:eastAsia="zh-CN"/>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809C0" w:rsidRPr="00570C40">
        <w:rPr>
          <w:kern w:val="1"/>
          <w:lang w:val="el-GR" w:eastAsia="zh-CN"/>
        </w:rPr>
        <w:t>σε όλους τους προσφέροντες</w:t>
      </w:r>
      <w:r w:rsidRPr="00570C40">
        <w:rPr>
          <w:kern w:val="1"/>
          <w:lang w:val="el-GR" w:eastAsia="zh-CN"/>
        </w:rPr>
        <w:t xml:space="preserve"> με επιμέλεια αυτής </w:t>
      </w:r>
      <w:r w:rsidR="00312742" w:rsidRPr="00570C40">
        <w:rPr>
          <w:kern w:val="1"/>
          <w:lang w:val="el-GR" w:eastAsia="zh-CN"/>
        </w:rPr>
        <w:t>μέσω της λειτουργικότητας της «Επικοινωνίας» του ηλεκτρονικού διαγωνισμού στο ΕΣΗΔΗΣ.</w:t>
      </w:r>
    </w:p>
    <w:p w14:paraId="7B933DDE" w14:textId="77777777" w:rsidR="008541E7" w:rsidRPr="00570C40" w:rsidRDefault="008541E7" w:rsidP="008541E7">
      <w:pPr>
        <w:textAlignment w:val="baseline"/>
        <w:rPr>
          <w:kern w:val="1"/>
          <w:lang w:val="el-GR" w:eastAsia="zh-CN"/>
        </w:rPr>
      </w:pPr>
      <w:r w:rsidRPr="00570C40">
        <w:rPr>
          <w:kern w:val="1"/>
          <w:lang w:val="el-GR" w:eastAsia="zh-CN"/>
        </w:rPr>
        <w:t xml:space="preserve">Κατά της εν λόγω απόφασης χωρεί προδικαστική προσφυγή, σύμφωνα με τα οριζόμενα </w:t>
      </w:r>
      <w:r w:rsidR="004F5118" w:rsidRPr="00570C40">
        <w:rPr>
          <w:kern w:val="1"/>
          <w:lang w:val="el-GR" w:eastAsia="zh-CN"/>
        </w:rPr>
        <w:t>στην παράγραφο</w:t>
      </w:r>
      <w:r w:rsidRPr="00570C40">
        <w:rPr>
          <w:kern w:val="1"/>
          <w:lang w:val="el-GR" w:eastAsia="zh-CN"/>
        </w:rPr>
        <w:t xml:space="preserve"> 3.4 της παρούσας.</w:t>
      </w:r>
    </w:p>
    <w:p w14:paraId="5AB978DD" w14:textId="77777777" w:rsidR="008541E7" w:rsidRPr="00570C40" w:rsidRDefault="00B14783" w:rsidP="008541E7">
      <w:pPr>
        <w:textAlignment w:val="baseline"/>
        <w:rPr>
          <w:kern w:val="1"/>
          <w:lang w:val="el-GR" w:eastAsia="zh-CN"/>
        </w:rPr>
      </w:pPr>
      <w:r w:rsidRPr="00570C40">
        <w:rPr>
          <w:kern w:val="1"/>
          <w:lang w:val="el-GR" w:eastAsia="zh-CN"/>
        </w:rPr>
        <w:t xml:space="preserve">Η </w:t>
      </w:r>
      <w:r w:rsidR="004809C0" w:rsidRPr="00570C40">
        <w:rPr>
          <w:kern w:val="1"/>
          <w:lang w:val="el-GR" w:eastAsia="zh-CN"/>
        </w:rPr>
        <w:t>αναθέτουσα αρχή</w:t>
      </w:r>
      <w:r w:rsidRPr="00570C40">
        <w:rPr>
          <w:kern w:val="1"/>
          <w:lang w:val="el-GR" w:eastAsia="zh-CN"/>
        </w:rPr>
        <w:t xml:space="preserve"> επικοινωνεί</w:t>
      </w:r>
      <w:r w:rsidR="00C63942">
        <w:rPr>
          <w:kern w:val="1"/>
          <w:lang w:val="el-GR" w:eastAsia="zh-CN"/>
        </w:rPr>
        <w:t>,</w:t>
      </w:r>
      <w:r w:rsidRPr="00570C40">
        <w:rPr>
          <w:kern w:val="1"/>
          <w:lang w:val="el-GR" w:eastAsia="zh-CN"/>
        </w:rPr>
        <w:t xml:space="preserve"> </w:t>
      </w:r>
      <w:r w:rsidR="00286137" w:rsidRPr="00570C40">
        <w:rPr>
          <w:kern w:val="1"/>
          <w:lang w:val="el-GR" w:eastAsia="zh-CN"/>
        </w:rPr>
        <w:t>παράλληλα</w:t>
      </w:r>
      <w:r w:rsidR="00C63942">
        <w:rPr>
          <w:kern w:val="1"/>
          <w:lang w:val="el-GR" w:eastAsia="zh-CN"/>
        </w:rPr>
        <w:t>,</w:t>
      </w:r>
      <w:r w:rsidR="00286137" w:rsidRPr="00570C40">
        <w:rPr>
          <w:kern w:val="1"/>
          <w:lang w:val="el-GR" w:eastAsia="zh-CN"/>
        </w:rPr>
        <w:t xml:space="preserve"> </w:t>
      </w:r>
      <w:r w:rsidRPr="00570C40">
        <w:rPr>
          <w:kern w:val="1"/>
          <w:lang w:val="el-GR" w:eastAsia="zh-CN"/>
        </w:rPr>
        <w:t>με τους φορείς που φέρονται να έχουν εκδώσει τις εγγυητικές επιστολές, προκειμένου να διαπιστώσει την εγκυρότητά τους.</w:t>
      </w:r>
    </w:p>
    <w:p w14:paraId="185EA302" w14:textId="77777777" w:rsidR="003929DA" w:rsidRDefault="003929DA">
      <w:pPr>
        <w:textAlignment w:val="baseline"/>
        <w:rPr>
          <w:kern w:val="1"/>
          <w:lang w:val="el-GR"/>
        </w:rPr>
      </w:pPr>
      <w:r w:rsidRPr="00570C40">
        <w:rPr>
          <w:kern w:val="1"/>
          <w:lang w:val="el-GR"/>
        </w:rPr>
        <w:t xml:space="preserve">β) </w:t>
      </w:r>
      <w:r w:rsidR="00312742" w:rsidRPr="00570C40">
        <w:rPr>
          <w:kern w:val="1"/>
          <w:lang w:val="el-GR"/>
        </w:rPr>
        <w:t xml:space="preserve">Στη συνέχεια η Επιτροπή Διαγωνισμού προβαίνει </w:t>
      </w:r>
      <w:r w:rsidR="006A42C7" w:rsidRPr="00570C40">
        <w:rPr>
          <w:kern w:val="1"/>
          <w:lang w:val="el-GR"/>
        </w:rPr>
        <w:t>αρχικά</w:t>
      </w:r>
      <w:r w:rsidR="00312742" w:rsidRPr="00570C40">
        <w:rPr>
          <w:kern w:val="1"/>
          <w:lang w:val="el-GR"/>
        </w:rPr>
        <w:t xml:space="preserve">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w:t>
      </w:r>
      <w:r w:rsidR="00312742" w:rsidRPr="00312742">
        <w:rPr>
          <w:kern w:val="1"/>
          <w:lang w:val="el-GR"/>
        </w:rPr>
        <w:t xml:space="preserve"> </w:t>
      </w:r>
      <w:r>
        <w:rPr>
          <w:kern w:val="1"/>
          <w:lang w:val="el-GR"/>
        </w:rPr>
        <w:t>Η αξιολόγηση και βαθμολόγηση γίνονται σύμφωνα με τα σχετικώς προβλεπόμενα στον ν.4412/2016  και τους όρους της παρούσας</w:t>
      </w:r>
      <w:r w:rsidR="008541E7">
        <w:rPr>
          <w:kern w:val="1"/>
          <w:lang w:val="el-GR"/>
        </w:rPr>
        <w:t>. Η</w:t>
      </w:r>
      <w:r w:rsidR="008541E7" w:rsidRPr="00176884">
        <w:rPr>
          <w:kern w:val="1"/>
          <w:lang w:val="el-GR"/>
        </w:rPr>
        <w:t xml:space="preserve"> δια</w:t>
      </w:r>
      <w:r w:rsidR="008541E7" w:rsidRPr="0014575C">
        <w:rPr>
          <w:kern w:val="1"/>
          <w:lang w:val="el-GR"/>
        </w:rPr>
        <w:t>δικασία αξιολόγησης ολοκληρώνεται με την καταχώριση</w:t>
      </w:r>
      <w:r w:rsidR="008541E7" w:rsidRPr="00176884">
        <w:rPr>
          <w:kern w:val="1"/>
          <w:lang w:val="el-GR"/>
        </w:rPr>
        <w:t xml:space="preserve"> </w:t>
      </w:r>
      <w:r w:rsidR="008541E7" w:rsidRPr="0014575C">
        <w:rPr>
          <w:kern w:val="1"/>
          <w:lang w:val="el-GR"/>
        </w:rPr>
        <w:t>σε πρακτικό των προσφερόντων</w:t>
      </w:r>
      <w:r w:rsidR="008541E7" w:rsidRPr="00176884">
        <w:rPr>
          <w:kern w:val="1"/>
          <w:lang w:val="el-GR"/>
        </w:rPr>
        <w:t xml:space="preserve">, </w:t>
      </w:r>
      <w:r w:rsidR="008541E7" w:rsidRPr="0014575C">
        <w:rPr>
          <w:kern w:val="1"/>
          <w:lang w:val="el-GR"/>
        </w:rPr>
        <w:t>των αποτελεσμάτων</w:t>
      </w:r>
      <w:r w:rsidR="008541E7" w:rsidRPr="00176884">
        <w:rPr>
          <w:kern w:val="1"/>
          <w:lang w:val="el-GR"/>
        </w:rPr>
        <w:t xml:space="preserve"> </w:t>
      </w:r>
      <w:r w:rsidR="008541E7" w:rsidRPr="0014575C">
        <w:rPr>
          <w:kern w:val="1"/>
          <w:lang w:val="el-GR"/>
        </w:rPr>
        <w:t>του ελέγχου και της αξιολόγησης των δικαιολογητικών</w:t>
      </w:r>
      <w:r w:rsidR="008541E7" w:rsidRPr="00176884">
        <w:rPr>
          <w:kern w:val="1"/>
          <w:lang w:val="el-GR"/>
        </w:rPr>
        <w:t xml:space="preserve"> </w:t>
      </w:r>
      <w:r w:rsidR="008541E7" w:rsidRPr="0014575C">
        <w:rPr>
          <w:kern w:val="1"/>
          <w:lang w:val="el-GR"/>
        </w:rPr>
        <w:t>συμμετοχής</w:t>
      </w:r>
      <w:r w:rsidR="008541E7">
        <w:rPr>
          <w:kern w:val="1"/>
          <w:lang w:val="el-GR"/>
        </w:rPr>
        <w:t xml:space="preserve">, των αποτελεσμάτων της αξιολόγησης </w:t>
      </w:r>
      <w:r w:rsidR="008541E7" w:rsidRPr="0014575C">
        <w:rPr>
          <w:kern w:val="1"/>
          <w:lang w:val="el-GR"/>
        </w:rPr>
        <w:t>των τεχνικών προσφορών</w:t>
      </w:r>
      <w:r w:rsidR="008541E7">
        <w:rPr>
          <w:kern w:val="1"/>
          <w:lang w:val="el-GR"/>
        </w:rPr>
        <w:t xml:space="preserve">, της βαθμολόγησης των αποδεκτών τεχνικών προσφορών με βάση τα κριτήρια αξιολόγησης </w:t>
      </w:r>
      <w:r w:rsidR="004F5118">
        <w:rPr>
          <w:kern w:val="1"/>
          <w:lang w:val="el-GR"/>
        </w:rPr>
        <w:t xml:space="preserve">των παραγράφων </w:t>
      </w:r>
      <w:r w:rsidR="008541E7">
        <w:rPr>
          <w:kern w:val="1"/>
          <w:lang w:val="el-GR"/>
        </w:rPr>
        <w:t>2.3.1 και 2.3.2 της παρούσας.</w:t>
      </w:r>
      <w:r>
        <w:rPr>
          <w:kern w:val="1"/>
          <w:lang w:val="el-GR"/>
        </w:rPr>
        <w:t xml:space="preserve"> </w:t>
      </w:r>
    </w:p>
    <w:p w14:paraId="01A04CB6" w14:textId="38D594F0" w:rsidR="000737CC" w:rsidRPr="00BD65F6" w:rsidRDefault="003929DA" w:rsidP="000737CC">
      <w:pPr>
        <w:textAlignment w:val="baseline"/>
        <w:rPr>
          <w:kern w:val="1"/>
          <w:lang w:val="el-GR" w:eastAsia="el-GR"/>
        </w:rPr>
      </w:pPr>
      <w:r w:rsidRPr="00BD65F6">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w:t>
      </w:r>
      <w:r w:rsidR="000737CC" w:rsidRPr="00BD65F6">
        <w:rPr>
          <w:kern w:val="1"/>
          <w:lang w:val="el-GR" w:eastAsia="el-GR"/>
        </w:rPr>
        <w:t>, εκτός από όσους αποκλείστηκαν οριστικά δυνάμει της παρ. 1 του άρθρου 72 του ν. 4412/2016, μέσω της λειτουργικότητας της «Επικοινωνίας» του ΕΣΗΔΗΣ.</w:t>
      </w:r>
      <w:r w:rsidRPr="00BD65F6">
        <w:rPr>
          <w:kern w:val="1"/>
          <w:lang w:val="el-GR" w:eastAsia="el-GR"/>
        </w:rPr>
        <w:t xml:space="preserve"> </w:t>
      </w:r>
      <w:r w:rsidR="000737CC" w:rsidRPr="00BD65F6">
        <w:rPr>
          <w:kern w:val="1"/>
          <w:lang w:val="el-GR" w:eastAsia="el-GR"/>
        </w:rPr>
        <w:t xml:space="preserve">Μετά  την έκδοση και </w:t>
      </w:r>
      <w:r w:rsidR="000737CC" w:rsidRPr="00BD65F6">
        <w:rPr>
          <w:kern w:val="1"/>
          <w:lang w:val="el-GR" w:eastAsia="el-GR"/>
        </w:rPr>
        <w:lastRenderedPageBreak/>
        <w:t>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7DAB9271" w14:textId="77777777" w:rsidR="003929DA" w:rsidRPr="00345415" w:rsidRDefault="003929DA">
      <w:pPr>
        <w:textAlignment w:val="baseline"/>
        <w:rPr>
          <w:kern w:val="1"/>
          <w:lang w:val="el-GR"/>
        </w:rPr>
      </w:pPr>
      <w:r w:rsidRPr="00BD65F6">
        <w:rPr>
          <w:kern w:val="1"/>
          <w:lang w:val="el-GR" w:eastAsia="el-GR"/>
        </w:rPr>
        <w:t>Κατά της εν λόγω απόφασης χωρεί προδικαστική προσφυγή, σύμφωνα με τα οριζόμενα στ</w:t>
      </w:r>
      <w:r w:rsidR="004F5118">
        <w:rPr>
          <w:kern w:val="1"/>
          <w:lang w:val="el-GR" w:eastAsia="el-GR"/>
        </w:rPr>
        <w:t>ην παράγραφο</w:t>
      </w:r>
      <w:r w:rsidRPr="00BD65F6">
        <w:rPr>
          <w:kern w:val="1"/>
          <w:lang w:val="el-GR" w:eastAsia="el-GR"/>
        </w:rPr>
        <w:t xml:space="preserve"> 3.4 της παρούσας.</w:t>
      </w:r>
    </w:p>
    <w:p w14:paraId="3A1DFF53" w14:textId="77777777" w:rsidR="003929DA" w:rsidRDefault="003929DA">
      <w:pPr>
        <w:textAlignment w:val="baseline"/>
        <w:rPr>
          <w:kern w:val="1"/>
          <w:lang w:val="el-GR"/>
        </w:rPr>
      </w:pPr>
      <w:r>
        <w:rPr>
          <w:kern w:val="1"/>
          <w:lang w:val="el-GR"/>
        </w:rPr>
        <w:t xml:space="preserve">γ) Μετά την ολοκλήρωση της αξιολόγησης, σύμφωνα με τα ανωτέρω, αποσφραγίζονται, κατά την </w:t>
      </w:r>
      <w:r w:rsidR="00883D1B">
        <w:rPr>
          <w:kern w:val="1"/>
          <w:lang w:val="el-GR"/>
        </w:rPr>
        <w:t xml:space="preserve">ορισθείσα </w:t>
      </w:r>
      <w:r>
        <w:rPr>
          <w:kern w:val="1"/>
          <w:lang w:val="el-GR"/>
        </w:rPr>
        <w:t>ημερομηνία και ώρα οι φάκελοι των οικονομικών προσφορών εκείνων των προσφερόντων που δεν έχουν απορριφθεί σύμφωνα με τα ανωτέρω.</w:t>
      </w:r>
    </w:p>
    <w:p w14:paraId="2BD8E55A" w14:textId="28886169" w:rsidR="003929DA" w:rsidRDefault="003929DA" w:rsidP="000737CC">
      <w:pPr>
        <w:suppressAutoHyphens w:val="0"/>
        <w:autoSpaceDE w:val="0"/>
        <w:autoSpaceDN w:val="0"/>
        <w:adjustRightInd w:val="0"/>
        <w:spacing w:after="0"/>
        <w:rPr>
          <w:kern w:val="1"/>
          <w:lang w:val="el-GR"/>
        </w:rPr>
      </w:pPr>
      <w:r>
        <w:rPr>
          <w:kern w:val="1"/>
          <w:lang w:val="el-GR"/>
        </w:rPr>
        <w:t xml:space="preserve">δ) </w:t>
      </w:r>
      <w:r w:rsidR="004E592B" w:rsidRPr="004E592B">
        <w:rPr>
          <w:kern w:val="1"/>
          <w:lang w:val="el-GR"/>
        </w:rPr>
        <w:t>Η Επιτροπή Διαγωνισμού προβαίνει στην αξιολόγηση των οικονομικών προσφορών που αποσφραγίστηκαν και συντάσσει πρακτικό</w:t>
      </w:r>
      <w:r w:rsidR="0023494F">
        <w:rPr>
          <w:kern w:val="1"/>
          <w:lang w:val="el-GR"/>
        </w:rPr>
        <w:t>,</w:t>
      </w:r>
      <w:r w:rsidR="004E592B" w:rsidRPr="004E592B">
        <w:rPr>
          <w:kern w:val="1"/>
          <w:lang w:val="el-GR"/>
        </w:rPr>
        <w:t xml:space="preserve">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00A72F25" w:rsidRPr="00A72F25">
        <w:rPr>
          <w:kern w:val="1"/>
          <w:lang w:val="el-GR" w:eastAsia="zh-CN"/>
        </w:rPr>
        <w:t xml:space="preserve"> </w:t>
      </w:r>
    </w:p>
    <w:p w14:paraId="3AE36B23" w14:textId="24064146"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4191F575" w14:textId="6FA2844D" w:rsidR="00A72F25" w:rsidRPr="00A72F25" w:rsidRDefault="003929DA" w:rsidP="00A72F25">
      <w:pPr>
        <w:textAlignment w:val="baseline"/>
        <w:rPr>
          <w:lang w:val="el-GR" w:eastAsia="zh-CN"/>
        </w:rPr>
      </w:pPr>
      <w:r>
        <w:rPr>
          <w:kern w:val="1"/>
          <w:lang w:val="el-GR"/>
        </w:rPr>
        <w:t xml:space="preserve">Στην περίπτωση ισοδύναμων προφορών, δηλαδή προσφορών με την ίδια συνολική τελική βαθμολογία </w:t>
      </w:r>
      <w:r w:rsidR="00A72F25" w:rsidRPr="00A72F25">
        <w:rPr>
          <w:kern w:val="1"/>
          <w:lang w:val="el-GR" w:eastAsia="zh-CN"/>
        </w:rPr>
        <w:t>μεταξύ</w:t>
      </w:r>
      <w:r>
        <w:rPr>
          <w:kern w:val="1"/>
          <w:lang w:val="el-GR"/>
        </w:rPr>
        <w:t xml:space="preserve"> δύο ή περισσ</w:t>
      </w:r>
      <w:r w:rsidR="0023494F">
        <w:rPr>
          <w:kern w:val="1"/>
          <w:lang w:val="el-GR"/>
        </w:rPr>
        <w:t>ότε</w:t>
      </w:r>
      <w:r>
        <w:rPr>
          <w:kern w:val="1"/>
          <w:lang w:val="el-GR"/>
        </w:rPr>
        <w:t>ρων προσφερόντων</w:t>
      </w:r>
      <w:r w:rsidR="004F5118">
        <w:rPr>
          <w:kern w:val="1"/>
          <w:lang w:val="el-GR"/>
        </w:rPr>
        <w:t>,</w:t>
      </w:r>
      <w:r>
        <w:rPr>
          <w:kern w:val="1"/>
          <w:lang w:val="el-GR"/>
        </w:rPr>
        <w:t xml:space="preserve"> η ανάθεση γίνεται</w:t>
      </w:r>
      <w:r w:rsidR="00A72F25" w:rsidRPr="00A72F25">
        <w:rPr>
          <w:kern w:val="1"/>
          <w:lang w:val="el-GR" w:eastAsia="zh-CN"/>
        </w:rPr>
        <w:t xml:space="preserve"> στ</w:t>
      </w:r>
      <w:r w:rsidR="0023494F">
        <w:rPr>
          <w:kern w:val="1"/>
          <w:lang w:val="el-GR" w:eastAsia="zh-CN"/>
        </w:rPr>
        <w:t>ο</w:t>
      </w:r>
      <w:r w:rsidR="00A72F25" w:rsidRPr="00A72F25">
        <w:rPr>
          <w:kern w:val="1"/>
          <w:lang w:val="el-GR" w:eastAsia="zh-CN"/>
        </w:rPr>
        <w:t>ν προσφ</w:t>
      </w:r>
      <w:r w:rsidR="0023494F">
        <w:rPr>
          <w:kern w:val="1"/>
          <w:lang w:val="el-GR" w:eastAsia="zh-CN"/>
        </w:rPr>
        <w:t>έροντα</w:t>
      </w:r>
      <w:r w:rsidR="00A72F25" w:rsidRPr="00A72F25">
        <w:rPr>
          <w:kern w:val="1"/>
          <w:lang w:val="el-GR" w:eastAsia="zh-CN"/>
        </w:rPr>
        <w:t xml:space="preserve"> με τη μεγαλύτερη βαθμολογία τεχνικής προσφοράς. </w:t>
      </w:r>
    </w:p>
    <w:p w14:paraId="178257E2" w14:textId="3020FF96" w:rsidR="003929DA" w:rsidRPr="00C2237B" w:rsidRDefault="003929DA">
      <w:pPr>
        <w:textAlignment w:val="baseline"/>
        <w:rPr>
          <w:rFonts w:eastAsia="Calibri"/>
          <w:kern w:val="1"/>
          <w:lang w:val="el-GR" w:eastAsia="el-GR"/>
        </w:rPr>
      </w:pPr>
      <w:r>
        <w:rPr>
          <w:kern w:val="1"/>
          <w:lang w:val="el-GR"/>
        </w:rPr>
        <w:t xml:space="preserve">Αν οι ισοδύναμες προσφορές έχουν την </w:t>
      </w:r>
      <w:r w:rsidRPr="00BF6D04">
        <w:rPr>
          <w:kern w:val="1"/>
          <w:lang w:val="el-GR"/>
        </w:rPr>
        <w:t>ίδια βαθμολογία τεχνικής προσφοράς</w:t>
      </w:r>
      <w:r w:rsidR="00D85700">
        <w:rPr>
          <w:rStyle w:val="WW-FootnoteReference19"/>
          <w:kern w:val="1"/>
          <w:lang w:val="el-GR"/>
        </w:rPr>
        <w:footnoteReference w:id="119"/>
      </w:r>
      <w:r>
        <w:rPr>
          <w:i/>
          <w:color w:val="5B9BD5"/>
          <w:kern w:val="1"/>
          <w:lang w:val="el-GR" w:eastAsia="el-GR"/>
        </w:rPr>
        <w:t xml:space="preserve"> </w:t>
      </w:r>
      <w:r>
        <w:rPr>
          <w:kern w:val="1"/>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r w:rsidRPr="00C2237B">
        <w:rPr>
          <w:iCs/>
          <w:kern w:val="1"/>
          <w:lang w:val="el-GR" w:eastAsia="el-GR"/>
        </w:rPr>
        <w:t>Επισημαίνεται ότι τα αποτελέσματα της κλήρωσης ενσωματώνοντ</w:t>
      </w:r>
      <w:r w:rsidR="00C2237B">
        <w:rPr>
          <w:iCs/>
          <w:kern w:val="1"/>
          <w:lang w:val="el-GR" w:eastAsia="el-GR"/>
        </w:rPr>
        <w:t>αι ομοίως στην κατωτέρω απόφαση.</w:t>
      </w:r>
    </w:p>
    <w:p w14:paraId="7E722C6D" w14:textId="77777777" w:rsidR="00A72F25" w:rsidRPr="00BD65F6" w:rsidRDefault="00A72F25" w:rsidP="00A72F25">
      <w:pPr>
        <w:textAlignment w:val="baseline"/>
        <w:rPr>
          <w:kern w:val="1"/>
          <w:lang w:val="el-GR" w:eastAsia="el-GR"/>
        </w:rPr>
      </w:pPr>
      <w:r w:rsidRPr="00BD65F6">
        <w:rPr>
          <w:kern w:val="1"/>
          <w:lang w:val="el-GR" w:eastAsia="el-GR"/>
        </w:rPr>
        <w:t>Στη συνέχεια</w:t>
      </w:r>
      <w:r w:rsidR="00BB56DE">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sidR="004F5118">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sidR="004F5118">
        <w:rPr>
          <w:kern w:val="1"/>
          <w:lang w:val="el-GR" w:eastAsia="el-GR"/>
        </w:rPr>
        <w:t xml:space="preserve">εν λόγω </w:t>
      </w:r>
      <w:r w:rsidRPr="00BD65F6">
        <w:rPr>
          <w:kern w:val="1"/>
          <w:lang w:val="el-GR" w:eastAsia="el-GR"/>
        </w:rPr>
        <w:t>σταδίου</w:t>
      </w:r>
      <w:r w:rsidR="00FF640E">
        <w:rPr>
          <w:kern w:val="1"/>
          <w:lang w:val="el-GR" w:eastAsia="el-GR"/>
        </w:rPr>
        <w:t xml:space="preserve"> </w:t>
      </w:r>
      <w:r w:rsidRPr="00BD65F6">
        <w:rPr>
          <w:kern w:val="1"/>
          <w:lang w:val="el-GR" w:eastAsia="el-GR"/>
        </w:rPr>
        <w:t>και η αναθέτουσα</w:t>
      </w:r>
      <w:r w:rsidR="003929DA" w:rsidRPr="00345415">
        <w:rPr>
          <w:rFonts w:eastAsia="Calibri"/>
          <w:i/>
          <w:color w:val="5B9BD5"/>
          <w:kern w:val="1"/>
          <w:lang w:val="el-GR" w:eastAsia="el-GR"/>
        </w:rPr>
        <w:t xml:space="preserve"> </w:t>
      </w:r>
      <w:r w:rsidRPr="00BD65F6">
        <w:rPr>
          <w:kern w:val="1"/>
          <w:lang w:val="el-GR" w:eastAsia="el-GR"/>
        </w:rPr>
        <w:t>αρχή προσκαλεί εγγράφως</w:t>
      </w:r>
      <w:r w:rsidR="00D85700" w:rsidRPr="00BD65F6">
        <w:rPr>
          <w:kern w:val="1"/>
          <w:lang w:val="el-GR" w:eastAsia="el-GR"/>
        </w:rPr>
        <w:t>, μέσω της λειτουργικότητας της «Επικοινωνίας» του ηλεκτρονικού διαγωνισμού στο ΕΣΗΔΗΣ,</w:t>
      </w:r>
      <w:r w:rsidRPr="00BD65F6">
        <w:rPr>
          <w:kern w:val="1"/>
          <w:lang w:val="el-GR" w:eastAsia="el-GR"/>
        </w:rPr>
        <w:t xml:space="preserve"> τον πρώτο σε κατάταξη </w:t>
      </w:r>
      <w:r w:rsidR="00BB56DE">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Pr>
          <w:kern w:val="1"/>
          <w:lang w:val="el-GR" w:eastAsia="el-GR"/>
        </w:rPr>
        <w:t xml:space="preserve"> και τη</w:t>
      </w:r>
      <w:r w:rsidR="004E592B">
        <w:rPr>
          <w:kern w:val="1"/>
          <w:lang w:val="el-GR" w:eastAsia="el-GR"/>
        </w:rPr>
        <w:t>ν</w:t>
      </w:r>
      <w:r w:rsidR="00D85700">
        <w:rPr>
          <w:kern w:val="1"/>
          <w:lang w:val="el-GR" w:eastAsia="el-GR"/>
        </w:rPr>
        <w:t xml:space="preserve">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sidR="004E592B">
        <w:rPr>
          <w:rStyle w:val="ad"/>
          <w:kern w:val="1"/>
          <w:lang w:val="el-GR" w:eastAsia="el-GR"/>
        </w:rPr>
        <w:footnoteReference w:id="120"/>
      </w:r>
      <w:r w:rsidRPr="00BD65F6">
        <w:rPr>
          <w:kern w:val="1"/>
          <w:lang w:val="el-GR" w:eastAsia="el-GR"/>
        </w:rPr>
        <w:t>.</w:t>
      </w:r>
    </w:p>
    <w:p w14:paraId="7D1F3BB1" w14:textId="77777777" w:rsidR="00A50C19" w:rsidRPr="006F23A6" w:rsidRDefault="003929DA" w:rsidP="004F5118">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00A72F25" w:rsidRPr="00AC41D3">
        <w:rPr>
          <w:color w:val="000000"/>
          <w:szCs w:val="22"/>
          <w:shd w:val="clear" w:color="auto" w:fill="FFFFFF"/>
          <w:lang w:val="el-GR"/>
        </w:rPr>
        <w:t>τα αποτελέσματα όλων των</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σταδίων της διαδικασ</w:t>
      </w:r>
      <w:r w:rsidR="00A72F25"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00A72F25" w:rsidRPr="00AC41D3">
        <w:rPr>
          <w:color w:val="000000"/>
          <w:szCs w:val="22"/>
          <w:shd w:val="clear" w:color="auto" w:fill="FFFFFF"/>
          <w:lang w:val="el-GR"/>
        </w:rPr>
        <w:t>νονται με την απόφαση κατακύρωσης του άρθρου 105</w:t>
      </w:r>
      <w:r w:rsidR="006A42C7">
        <w:rPr>
          <w:color w:val="000000"/>
          <w:szCs w:val="22"/>
          <w:shd w:val="clear" w:color="auto" w:fill="FFFFFF"/>
          <w:lang w:val="el-GR"/>
        </w:rPr>
        <w:t xml:space="preserve"> </w:t>
      </w:r>
      <w:r w:rsidR="00B76F96">
        <w:rPr>
          <w:color w:val="000000"/>
          <w:szCs w:val="22"/>
          <w:shd w:val="clear" w:color="auto" w:fill="FFFFFF"/>
          <w:lang w:val="el-GR"/>
        </w:rPr>
        <w:t>του ν. 4412/2016</w:t>
      </w:r>
      <w:r w:rsidR="00491658">
        <w:rPr>
          <w:color w:val="000000"/>
          <w:szCs w:val="22"/>
          <w:shd w:val="clear" w:color="auto" w:fill="FFFFFF"/>
          <w:lang w:val="el-GR"/>
        </w:rPr>
        <w:t>, σύμφωνα με την παράγραφο</w:t>
      </w:r>
      <w:r w:rsidR="00D260E1">
        <w:rPr>
          <w:color w:val="000000"/>
          <w:szCs w:val="22"/>
          <w:shd w:val="clear" w:color="auto" w:fill="FFFFFF"/>
          <w:lang w:val="el-GR"/>
        </w:rPr>
        <w:t xml:space="preserve"> 3.3 της παρούσας</w:t>
      </w:r>
      <w:r w:rsidR="00B76F96">
        <w:rPr>
          <w:color w:val="000000"/>
          <w:szCs w:val="22"/>
          <w:shd w:val="clear" w:color="auto" w:fill="FFFFFF"/>
          <w:lang w:val="el-GR"/>
        </w:rPr>
        <w:t>,</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που εκδίδεται μετά το πέρας και</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του τελευταίου σταδίου της διαδικασίας</w:t>
      </w:r>
      <w:r w:rsidR="00A72F25" w:rsidRPr="00BD65F6">
        <w:rPr>
          <w:color w:val="000000"/>
          <w:szCs w:val="22"/>
          <w:shd w:val="clear" w:color="auto" w:fill="FFFFFF"/>
          <w:lang w:val="el-GR"/>
        </w:rPr>
        <w:t xml:space="preserve">. </w:t>
      </w:r>
      <w:r w:rsidR="004F5118" w:rsidRPr="004F5118">
        <w:rPr>
          <w:color w:val="000000"/>
          <w:szCs w:val="22"/>
          <w:shd w:val="clear" w:color="auto" w:fill="FFFFFF"/>
          <w:lang w:val="el-GR"/>
        </w:rPr>
        <w:t>Κατά της ανωτέρω απόφασης χωρεί προδικαστική προσφυγή ενώπιον</w:t>
      </w:r>
      <w:r w:rsidR="004F5118">
        <w:rPr>
          <w:color w:val="000000"/>
          <w:szCs w:val="22"/>
          <w:shd w:val="clear" w:color="auto" w:fill="FFFFFF"/>
          <w:lang w:val="el-GR"/>
        </w:rPr>
        <w:t xml:space="preserve"> </w:t>
      </w:r>
      <w:r w:rsidR="004F5118" w:rsidRPr="00AD164C">
        <w:rPr>
          <w:color w:val="000000"/>
          <w:szCs w:val="22"/>
          <w:shd w:val="clear" w:color="auto" w:fill="FFFFFF"/>
          <w:lang w:val="el-GR"/>
        </w:rPr>
        <w:t xml:space="preserve">της </w:t>
      </w:r>
      <w:r w:rsidR="00C43570" w:rsidRPr="00AD164C">
        <w:rPr>
          <w:color w:val="000000"/>
          <w:szCs w:val="22"/>
          <w:shd w:val="clear" w:color="auto" w:fill="FFFFFF"/>
          <w:lang w:val="el-GR"/>
        </w:rPr>
        <w:t xml:space="preserve"> Ε.Α.ΔΗ.ΣΥ.,</w:t>
      </w:r>
      <w:r w:rsidR="00C43570">
        <w:rPr>
          <w:color w:val="000000"/>
          <w:szCs w:val="22"/>
          <w:shd w:val="clear" w:color="auto" w:fill="FFFFFF"/>
          <w:lang w:val="el-GR"/>
        </w:rPr>
        <w:t xml:space="preserve"> </w:t>
      </w:r>
      <w:r w:rsidR="004F5118" w:rsidRPr="004F5118">
        <w:rPr>
          <w:color w:val="000000"/>
          <w:szCs w:val="22"/>
          <w:shd w:val="clear" w:color="auto" w:fill="FFFFFF"/>
          <w:lang w:val="el-GR"/>
        </w:rPr>
        <w:t>σύμφωνα με όσα προβλέπονται στην παράγραφο 3.4 της παρούσας</w:t>
      </w:r>
      <w:r w:rsidR="00FF640E">
        <w:rPr>
          <w:rStyle w:val="ad"/>
          <w:color w:val="000000"/>
          <w:szCs w:val="22"/>
          <w:shd w:val="clear" w:color="auto" w:fill="FFFFFF"/>
          <w:lang w:val="el-GR"/>
        </w:rPr>
        <w:footnoteReference w:id="121"/>
      </w:r>
      <w:r w:rsidR="004F5118" w:rsidRPr="004F5118">
        <w:rPr>
          <w:color w:val="000000"/>
          <w:szCs w:val="22"/>
          <w:shd w:val="clear" w:color="auto" w:fill="FFFFFF"/>
          <w:lang w:val="el-GR"/>
        </w:rPr>
        <w:t>.</w:t>
      </w:r>
    </w:p>
    <w:p w14:paraId="3241FD4C" w14:textId="77777777" w:rsidR="003929DA" w:rsidRDefault="003929DA">
      <w:pPr>
        <w:pStyle w:val="-HTML2"/>
        <w:jc w:val="both"/>
        <w:rPr>
          <w:kern w:val="1"/>
          <w:lang w:eastAsia="el-GR"/>
        </w:rPr>
      </w:pPr>
    </w:p>
    <w:p w14:paraId="289F1A29" w14:textId="77777777" w:rsidR="003929DA" w:rsidRDefault="003929DA">
      <w:pPr>
        <w:pStyle w:val="2"/>
        <w:rPr>
          <w:lang w:val="el-GR"/>
        </w:rPr>
      </w:pPr>
      <w:bookmarkStart w:id="52" w:name="_Toc129004439"/>
      <w:r>
        <w:rPr>
          <w:lang w:val="el-GR"/>
        </w:rPr>
        <w:t>3.2</w:t>
      </w:r>
      <w:r>
        <w:rPr>
          <w:lang w:val="el-GR"/>
        </w:rPr>
        <w:tab/>
        <w:t>Πρόσκληση υποβολής δικαιολογητικών προσωρινού αναδόχου</w:t>
      </w:r>
      <w:r>
        <w:rPr>
          <w:rStyle w:val="WW-FootnoteReference11"/>
          <w:lang w:val="el-GR"/>
        </w:rPr>
        <w:footnoteReference w:id="122"/>
      </w:r>
      <w:r>
        <w:rPr>
          <w:lang w:val="el-GR"/>
        </w:rPr>
        <w:t xml:space="preserve"> - Δικαιολογητικά προσωρινού αναδόχου</w:t>
      </w:r>
      <w:bookmarkEnd w:id="52"/>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 xml:space="preserve">μέσω της </w:t>
      </w:r>
      <w:r w:rsidR="00D85700" w:rsidRPr="00436F2C">
        <w:rPr>
          <w:lang w:val="el-GR"/>
        </w:rPr>
        <w:lastRenderedPageBreak/>
        <w:t>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23"/>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1A3DEE0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 xml:space="preserve">μετά τη </w:t>
      </w:r>
      <w:r w:rsidRPr="006F79E0">
        <w:rPr>
          <w:lang w:val="el-GR"/>
        </w:rPr>
        <w:lastRenderedPageBreak/>
        <w:t>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sidRPr="006F79E0">
        <w:rPr>
          <w:rStyle w:val="WW-FootnoteReference11"/>
          <w:lang w:val="el-GR"/>
        </w:rPr>
        <w:footnoteReference w:id="124"/>
      </w:r>
      <w:r w:rsidRPr="006F79E0">
        <w:rPr>
          <w:lang w:val="el-GR"/>
        </w:rPr>
        <w:t>.</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74E0154" w14:textId="77777777" w:rsidR="003929DA" w:rsidRDefault="003929DA">
      <w:pPr>
        <w:rPr>
          <w:lang w:val="el-GR"/>
        </w:rPr>
      </w:pPr>
    </w:p>
    <w:p w14:paraId="5695AB1D" w14:textId="77777777" w:rsidR="003929DA" w:rsidRDefault="00491658">
      <w:pPr>
        <w:pStyle w:val="2"/>
        <w:rPr>
          <w:lang w:val="el-GR"/>
        </w:rPr>
      </w:pPr>
      <w:r>
        <w:rPr>
          <w:lang w:val="el-GR"/>
        </w:rPr>
        <w:t xml:space="preserve"> </w:t>
      </w:r>
      <w:bookmarkStart w:id="53" w:name="_Toc129004440"/>
      <w:r w:rsidR="003929DA">
        <w:rPr>
          <w:lang w:val="el-GR"/>
        </w:rPr>
        <w:t>3.3</w:t>
      </w:r>
      <w:r w:rsidR="003929DA">
        <w:rPr>
          <w:lang w:val="el-GR"/>
        </w:rPr>
        <w:tab/>
        <w:t>Κατακύρωση - σύναψη σύμβασης</w:t>
      </w:r>
      <w:r w:rsidR="005C4697">
        <w:rPr>
          <w:rStyle w:val="ad"/>
          <w:lang w:val="el-GR"/>
        </w:rPr>
        <w:footnoteReference w:id="125"/>
      </w:r>
      <w:bookmarkEnd w:id="53"/>
      <w:r w:rsidR="003929DA">
        <w:rPr>
          <w:lang w:val="el-GR"/>
        </w:rPr>
        <w:t xml:space="preserve"> </w:t>
      </w:r>
    </w:p>
    <w:p w14:paraId="79267601" w14:textId="77777777" w:rsidR="006A42C7" w:rsidRPr="00CE73AA" w:rsidRDefault="006A42C7" w:rsidP="006A42C7">
      <w:pPr>
        <w:rPr>
          <w:lang w:val="el-GR"/>
        </w:rPr>
      </w:pPr>
      <w:r w:rsidRPr="002353B1">
        <w:rPr>
          <w:b/>
          <w:lang w:val="el-GR"/>
        </w:rPr>
        <w:t>3.3.</w:t>
      </w:r>
      <w:r w:rsidR="003B264E">
        <w:rPr>
          <w:b/>
          <w:lang w:val="el-GR"/>
        </w:rPr>
        <w:t>1</w:t>
      </w:r>
      <w:r w:rsidRPr="002353B1">
        <w:rPr>
          <w:b/>
          <w:lang w:val="el-GR"/>
        </w:rPr>
        <w:t>.</w:t>
      </w:r>
      <w:r>
        <w:rPr>
          <w:lang w:val="el-GR"/>
        </w:rPr>
        <w:t xml:space="preserve"> </w:t>
      </w:r>
      <w:r w:rsidRPr="00CE73AA">
        <w:rPr>
          <w:lang w:val="el-GR"/>
        </w:rPr>
        <w:t xml:space="preserve">Τα αποτελέσματα του ελέγχου των παραπάνω δικαιολογητικών </w:t>
      </w:r>
      <w:r w:rsidRPr="00EB0F65">
        <w:rPr>
          <w:lang w:val="el-GR"/>
        </w:rPr>
        <w:t xml:space="preserve">κατακύρωσης </w:t>
      </w:r>
      <w:r w:rsidRPr="00CE73AA">
        <w:rPr>
          <w:lang w:val="el-GR"/>
        </w:rPr>
        <w:t xml:space="preserve">και της εισήγησης της Επιτροπής </w:t>
      </w:r>
      <w:r>
        <w:rPr>
          <w:lang w:val="el-GR"/>
        </w:rPr>
        <w:t xml:space="preserve">Διαγωνισμού </w:t>
      </w:r>
      <w:r w:rsidRPr="00CE73AA">
        <w:rPr>
          <w:lang w:val="el-GR"/>
        </w:rPr>
        <w:t>επικυρώνονται με την απόφαση κατακύρωσης, στην οποία ενσωματώνεται η απόφαση έγκρισης του πρακτικού κατάταξης των προσφερόντων</w:t>
      </w:r>
      <w:r w:rsidR="00D260E1">
        <w:rPr>
          <w:lang w:val="el-GR"/>
        </w:rPr>
        <w:t xml:space="preserve"> και ανάδειξης προσωρινού αναδόχου</w:t>
      </w:r>
      <w:r w:rsidRPr="00CE73AA">
        <w:rPr>
          <w:lang w:val="el-GR"/>
        </w:rPr>
        <w:t>, σε συνέχεια της αξιολόγησης των οικονομικών προσφορών τους.</w:t>
      </w:r>
    </w:p>
    <w:p w14:paraId="5389FF8B" w14:textId="146943B5" w:rsidR="006A42C7" w:rsidRDefault="006A42C7" w:rsidP="006A42C7">
      <w:pPr>
        <w:rPr>
          <w:lang w:val="el-GR"/>
        </w:rPr>
      </w:pPr>
      <w:r w:rsidRPr="00CE73AA">
        <w:rPr>
          <w:lang w:val="el-GR"/>
        </w:rPr>
        <w:t>Η αναθέτουσα αρχή κοινοποιεί</w:t>
      </w:r>
      <w:r>
        <w:rPr>
          <w:lang w:val="el-GR"/>
        </w:rPr>
        <w:t>,</w:t>
      </w:r>
      <w:r w:rsidRPr="00CE73AA">
        <w:rPr>
          <w:lang w:val="el-GR"/>
        </w:rPr>
        <w:t xml:space="preserve"> μέσω της λειτουργικότητας της «Επικοινωνίας»</w:t>
      </w:r>
      <w:r w:rsidR="00204B65">
        <w:rPr>
          <w:lang w:val="el-GR"/>
        </w:rPr>
        <w:t xml:space="preserve"> στο ΕΣΗΔΗΣ,</w:t>
      </w:r>
      <w:r>
        <w:rPr>
          <w:lang w:val="el-GR"/>
        </w:rPr>
        <w:t xml:space="preserve"> </w:t>
      </w:r>
      <w:r w:rsidR="00E906F0" w:rsidRPr="00CE73AA">
        <w:rPr>
          <w:lang w:val="el-GR"/>
        </w:rPr>
        <w:t>σε όλους τους οικονομικούς φορείς που έλαβαν μέρος στη διαδικασία ανάθεσης, εκτός από όσους αποκλείστηκαν οριστικά</w:t>
      </w:r>
      <w:r w:rsidR="00E906F0">
        <w:rPr>
          <w:lang w:val="el-GR"/>
        </w:rPr>
        <w:t xml:space="preserve">, ιδίως </w:t>
      </w:r>
      <w:r w:rsidR="00E906F0" w:rsidRPr="00CE73AA">
        <w:rPr>
          <w:lang w:val="el-GR"/>
        </w:rPr>
        <w:t>δυνάμει της παρ. 1 του άρθρου 72 του ν. 4412/2016</w:t>
      </w:r>
      <w:r w:rsidR="00E906F0">
        <w:rPr>
          <w:lang w:val="el-GR"/>
        </w:rPr>
        <w:t xml:space="preserve">, </w:t>
      </w:r>
      <w:r w:rsidRPr="00CE73AA">
        <w:rPr>
          <w:lang w:val="el-GR"/>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Pr>
          <w:lang w:val="el-GR"/>
        </w:rPr>
        <w:t>κατάταξης των προσφερόντων και ανάδειξης προσωρινού αναδόχου</w:t>
      </w:r>
      <w:r w:rsidRPr="00CE73AA">
        <w:rPr>
          <w:lang w:val="el-GR"/>
        </w:rPr>
        <w:t>, και</w:t>
      </w:r>
      <w:r>
        <w:rPr>
          <w:lang w:val="el-GR"/>
        </w:rPr>
        <w:t>,</w:t>
      </w:r>
      <w:r w:rsidRPr="00CE73AA">
        <w:rPr>
          <w:lang w:val="el-GR"/>
        </w:rPr>
        <w:t xml:space="preserve"> επιπλέον</w:t>
      </w:r>
      <w:r>
        <w:rPr>
          <w:lang w:val="el-GR"/>
        </w:rPr>
        <w:t>,</w:t>
      </w:r>
      <w:r w:rsidRPr="00CE73AA">
        <w:rPr>
          <w:lang w:val="el-GR"/>
        </w:rPr>
        <w:t xml:space="preserve"> αναρτά τα δικαιολογητικά του προσωρινού αναδόχου στα «Συνημμένα Ηλεκτρονικού Διαγωνισμού». </w:t>
      </w:r>
    </w:p>
    <w:p w14:paraId="701D6903" w14:textId="6571BB18" w:rsidR="006A42C7" w:rsidRPr="00CE73AA" w:rsidRDefault="006A42C7" w:rsidP="006A42C7">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 xml:space="preserve">οι προσφέροντες λαμβάνουν γνώση </w:t>
      </w:r>
      <w:r w:rsidRPr="00BE6FAB">
        <w:rPr>
          <w:lang w:val="el-GR"/>
        </w:rPr>
        <w:t>των οικονομικών προσφορών</w:t>
      </w:r>
      <w:r>
        <w:rPr>
          <w:lang w:val="el-GR"/>
        </w:rPr>
        <w:t xml:space="preserve"> </w:t>
      </w:r>
      <w:r w:rsidRPr="00BE6FAB">
        <w:rPr>
          <w:lang w:val="el-GR"/>
        </w:rPr>
        <w:t>που αποσφραγίστηκαν, της κατάταξης των προσφορών</w:t>
      </w:r>
      <w:r>
        <w:rPr>
          <w:lang w:val="el-GR"/>
        </w:rPr>
        <w:t xml:space="preserve"> </w:t>
      </w:r>
      <w:r w:rsidRPr="00BE6FAB">
        <w:rPr>
          <w:lang w:val="el-GR"/>
        </w:rPr>
        <w:t>και των υποβληθέντων δικαιολογητικών κατακύρωσης</w:t>
      </w:r>
      <w:r w:rsidR="00D13A1A">
        <w:rPr>
          <w:lang w:val="el-GR"/>
        </w:rPr>
        <w:t>, με ενέργειες της αναθέτουσας αρχής</w:t>
      </w:r>
      <w:r w:rsidR="00D13A1A">
        <w:rPr>
          <w:rStyle w:val="ad"/>
          <w:lang w:val="el-GR"/>
        </w:rPr>
        <w:footnoteReference w:id="126"/>
      </w:r>
      <w:r w:rsidRPr="00BE6FAB">
        <w:rPr>
          <w:lang w:val="el-GR"/>
        </w:rPr>
        <w:t>.</w:t>
      </w:r>
      <w:r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Pr="00CE73AA">
        <w:rPr>
          <w:lang w:val="el-GR"/>
        </w:rPr>
        <w:t xml:space="preserve">, σύμφωνα με την παράγραφο 3.4 της </w:t>
      </w:r>
      <w:r w:rsidR="000A44F1">
        <w:rPr>
          <w:lang w:val="el-GR"/>
        </w:rPr>
        <w:t>παρούσας</w:t>
      </w:r>
      <w:r w:rsidRPr="00CE73AA">
        <w:rPr>
          <w:lang w:val="el-GR"/>
        </w:rPr>
        <w:t>. Δεν επιτρέπεται η άσκηση άλλης διοικητικής προσφυγής κατά της ανωτέρω απόφασης.</w:t>
      </w:r>
      <w:r w:rsidRPr="00CE73AA">
        <w:rPr>
          <w:vertAlign w:val="superscript"/>
          <w:lang w:val="el-GR"/>
        </w:rPr>
        <w:footnoteReference w:id="127"/>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17" w:anchor="art372_4" w:history="1">
        <w:r w:rsidRPr="009E23A8">
          <w:rPr>
            <w:rFonts w:ascii="Calibri" w:hAnsi="Calibri" w:cs="Calibri"/>
            <w:sz w:val="22"/>
            <w:szCs w:val="22"/>
          </w:rPr>
          <w:t>παρ.</w:t>
        </w:r>
      </w:hyperlink>
      <w:hyperlink r:id="rId18" w:anchor="art372_4" w:history="1"/>
      <w:hyperlink r:id="rId19"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9FBA969" w14:textId="2070FA86" w:rsidR="00C2237B" w:rsidRDefault="003929DA" w:rsidP="008C11C4">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w:t>
      </w:r>
      <w:r w:rsidR="00C2237B">
        <w:rPr>
          <w:rFonts w:ascii="Calibri" w:hAnsi="Calibri" w:cs="Calibri"/>
          <w:sz w:val="22"/>
          <w:szCs w:val="22"/>
        </w:rPr>
        <w:t>ν. 4700/2020, εφόσον απαιτείται.</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w:t>
      </w:r>
      <w:r w:rsidR="003929DA">
        <w:rPr>
          <w:lang w:val="el-GR"/>
        </w:rPr>
        <w:lastRenderedPageBreak/>
        <w:t xml:space="preserve">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54" w:name="_Toc129004441"/>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4"/>
    </w:p>
    <w:p w14:paraId="3F1D536E" w14:textId="765C539E"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28"/>
      </w:r>
      <w:r w:rsidRPr="00020B6A">
        <w:rPr>
          <w:color w:val="000000"/>
          <w:lang w:val="el-GR"/>
        </w:rPr>
        <w:t xml:space="preserve">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29"/>
      </w:r>
      <w:r w:rsidRPr="00020B6A">
        <w:rPr>
          <w:color w:val="000000"/>
          <w:lang w:val="el-GR"/>
        </w:rPr>
        <w:t xml:space="preserve"> .</w:t>
      </w:r>
    </w:p>
    <w:p w14:paraId="233B767D" w14:textId="74C9B63F"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30"/>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w:t>
      </w:r>
      <w:proofErr w:type="spellStart"/>
      <w:r w:rsidRPr="00353578">
        <w:rPr>
          <w:color w:val="000000"/>
          <w:lang w:val="el-GR"/>
        </w:rPr>
        <w:t>τος</w:t>
      </w:r>
      <w:proofErr w:type="spellEnd"/>
      <w:r w:rsidRPr="00353578">
        <w:rPr>
          <w:color w:val="000000"/>
          <w:lang w:val="el-GR"/>
        </w:rPr>
        <w:t xml:space="preserve">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lastRenderedPageBreak/>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proofErr w:type="spellEnd"/>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proofErr w:type="spellStart"/>
      <w:r w:rsidRPr="00020B6A">
        <w:rPr>
          <w:color w:val="000000"/>
          <w:lang w:val="el-GR"/>
        </w:rPr>
        <w:t>δ)Συμπληρωματικά</w:t>
      </w:r>
      <w:proofErr w:type="spellEnd"/>
      <w:r w:rsidRPr="00020B6A">
        <w:rPr>
          <w:color w:val="000000"/>
          <w:lang w:val="el-GR"/>
        </w:rPr>
        <w:t xml:space="preserve">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65C9D3C4"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 Δικαστηρίου</w:t>
      </w:r>
      <w:r w:rsidR="00227727">
        <w:rPr>
          <w:color w:val="000000"/>
          <w:lang w:val="el-GR"/>
        </w:rPr>
        <w:t xml:space="preserve">, </w:t>
      </w:r>
      <w:r w:rsidR="00227727" w:rsidRPr="00227727">
        <w:rPr>
          <w:lang w:val="el-GR"/>
        </w:rPr>
        <w:t>(</w:t>
      </w:r>
      <w:r w:rsidRPr="00227727">
        <w:rPr>
          <w:lang w:val="el-GR"/>
        </w:rPr>
        <w:t xml:space="preserve"> το Διοικητικό Εφετείο της έδρας της </w:t>
      </w:r>
      <w:r w:rsidR="00227727" w:rsidRPr="00227727">
        <w:rPr>
          <w:lang w:val="el-GR"/>
        </w:rPr>
        <w:t>)</w:t>
      </w:r>
      <w:r w:rsidRPr="00F113B5">
        <w:rPr>
          <w:rStyle w:val="ad"/>
          <w:lang w:val="el-GR"/>
        </w:rPr>
        <w:footnoteReference w:id="131"/>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lastRenderedPageBreak/>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32"/>
      </w:r>
    </w:p>
    <w:p w14:paraId="07C4CAB2" w14:textId="4376915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r w:rsidR="00F40EF3">
        <w:rPr>
          <w:rStyle w:val="ad"/>
          <w:color w:val="000000"/>
          <w:lang w:val="el-GR"/>
        </w:rPr>
        <w:footnoteReference w:id="133"/>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6565665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40EF3">
        <w:rPr>
          <w:rStyle w:val="ad"/>
          <w:color w:val="000000"/>
          <w:lang w:val="el-GR"/>
        </w:rPr>
        <w:footnoteReference w:id="134"/>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188AC195"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w:t>
      </w:r>
      <w:r w:rsidRPr="00037801">
        <w:rPr>
          <w:lang w:val="el-GR"/>
        </w:rPr>
        <w:lastRenderedPageBreak/>
        <w:t xml:space="preserve">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ad"/>
          <w:lang w:val="el-GR"/>
        </w:rPr>
        <w:footnoteReference w:id="135"/>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55" w:name="_Toc129004442"/>
      <w:r>
        <w:rPr>
          <w:szCs w:val="24"/>
          <w:lang w:val="el-GR"/>
        </w:rPr>
        <w:t>3.5</w:t>
      </w:r>
      <w:r>
        <w:rPr>
          <w:szCs w:val="24"/>
          <w:lang w:val="el-GR"/>
        </w:rPr>
        <w:tab/>
        <w:t>Ματαίωση</w:t>
      </w:r>
      <w:r>
        <w:rPr>
          <w:lang w:val="el-GR"/>
        </w:rPr>
        <w:t xml:space="preserve"> Διαδικασίας</w:t>
      </w:r>
      <w:bookmarkEnd w:id="55"/>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56" w:name="_Toc129004443"/>
      <w:r>
        <w:rPr>
          <w:lang w:val="el-GR"/>
        </w:rPr>
        <w:lastRenderedPageBreak/>
        <w:t>4.</w:t>
      </w:r>
      <w:r>
        <w:rPr>
          <w:lang w:val="el-GR"/>
        </w:rPr>
        <w:tab/>
        <w:t>ΟΡΟΙ ΕΚΤΕΛΕΣΗΣ ΤΗΣ ΣΥΜΒΑΣΗΣ</w:t>
      </w:r>
      <w:bookmarkEnd w:id="56"/>
      <w:r>
        <w:rPr>
          <w:lang w:val="el-GR"/>
        </w:rPr>
        <w:t xml:space="preserve"> </w:t>
      </w:r>
    </w:p>
    <w:p w14:paraId="0319664C" w14:textId="77777777" w:rsidR="003929DA" w:rsidRDefault="003929DA">
      <w:pPr>
        <w:pStyle w:val="2"/>
        <w:rPr>
          <w:lang w:val="el-GR"/>
        </w:rPr>
      </w:pPr>
      <w:bookmarkStart w:id="57" w:name="_Toc129004444"/>
      <w:r>
        <w:rPr>
          <w:lang w:val="el-GR"/>
        </w:rPr>
        <w:t>4.1</w:t>
      </w:r>
      <w:r>
        <w:rPr>
          <w:lang w:val="el-GR"/>
        </w:rPr>
        <w:tab/>
        <w:t>Εγγυήσεις  (καλής εκτέλεσης, προκαταβολής, καλής λειτουργίας)</w:t>
      </w:r>
      <w:bookmarkEnd w:id="57"/>
    </w:p>
    <w:p w14:paraId="007616B4" w14:textId="77777777" w:rsidR="003929DA" w:rsidRDefault="003929DA" w:rsidP="00AB5685">
      <w:pPr>
        <w:rPr>
          <w:lang w:val="el-GR"/>
        </w:rPr>
      </w:pPr>
      <w:r w:rsidRPr="00AB5685">
        <w:rPr>
          <w:b/>
          <w:lang w:val="el-GR"/>
        </w:rPr>
        <w:t>4.1.1</w:t>
      </w:r>
      <w:r>
        <w:rPr>
          <w:lang w:val="el-GR"/>
        </w:rPr>
        <w:t xml:space="preserve"> Εγγύηση καλής εκτέλεσης και εγγύηση προκαταβολής: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0ACDE9F0"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E8921BA" w14:textId="77777777" w:rsidR="00227727" w:rsidRDefault="003929DA">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227727">
        <w:rPr>
          <w:lang w:val="el-GR"/>
        </w:rPr>
        <w:t>ενός (1) μηνός.</w:t>
      </w:r>
    </w:p>
    <w:p w14:paraId="150E493C" w14:textId="6F968C3D" w:rsidR="003929DA" w:rsidRDefault="005237FA">
      <w:pPr>
        <w:rPr>
          <w:lang w:val="el-GR"/>
        </w:rPr>
      </w:pPr>
      <w:r>
        <w:rPr>
          <w:lang w:val="el-GR"/>
        </w:rPr>
        <w:t xml:space="preserve"> </w:t>
      </w:r>
      <w:r w:rsidR="003929DA">
        <w:rPr>
          <w:lang w:val="el-GR"/>
        </w:rPr>
        <w:t xml:space="preserve">Στην περίπτωση χορήγησης προκαταβολής, </w:t>
      </w:r>
      <w:r>
        <w:rPr>
          <w:lang w:val="el-GR"/>
        </w:rPr>
        <w:t xml:space="preserve">σύμφωνα με την παράγραφο 5.1.1. της </w:t>
      </w:r>
      <w:r w:rsidR="000A44F1">
        <w:rPr>
          <w:lang w:val="el-GR"/>
        </w:rPr>
        <w:t>παρούσας</w:t>
      </w:r>
      <w:r>
        <w:rPr>
          <w:lang w:val="el-GR"/>
        </w:rPr>
        <w:t xml:space="preserve">, </w:t>
      </w:r>
    </w:p>
    <w:p w14:paraId="601C4841" w14:textId="7777777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380CCE10" w14:textId="77777777" w:rsidR="003929DA" w:rsidRPr="00BD65F6" w:rsidRDefault="003929DA">
      <w:pPr>
        <w:rPr>
          <w:lang w:val="el-GR"/>
        </w:rPr>
      </w:pPr>
      <w:r>
        <w:rPr>
          <w:lang w:val="el-GR"/>
        </w:rPr>
        <w:t>Η απόσβεση της προκαταβολής πραγματοποιείται και η εγγύηση προκαταβολής επιστρέφ</w:t>
      </w:r>
      <w:r w:rsidR="00245B54">
        <w:rPr>
          <w:lang w:val="el-GR"/>
        </w:rPr>
        <w:t>εται</w:t>
      </w:r>
      <w:r>
        <w:rPr>
          <w:lang w:val="el-GR"/>
        </w:rPr>
        <w:t xml:space="preserve"> μετά από την οριστική ποσοτική και ποιοτική παραλαβή των αγαθών. </w:t>
      </w:r>
    </w:p>
    <w:p w14:paraId="5C5E2BA1" w14:textId="33D66331" w:rsidR="003929DA" w:rsidRPr="00171EB5" w:rsidRDefault="003929DA" w:rsidP="00227727">
      <w:pPr>
        <w:rPr>
          <w:i/>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 xml:space="preserve">σμου. </w:t>
      </w:r>
    </w:p>
    <w:p w14:paraId="23BCB068" w14:textId="77777777" w:rsidR="003929DA" w:rsidRDefault="003929DA" w:rsidP="00AB5685">
      <w:pPr>
        <w:rPr>
          <w:lang w:val="el-GR"/>
        </w:rPr>
      </w:pPr>
      <w:r w:rsidRPr="00AB5685">
        <w:rPr>
          <w:b/>
          <w:lang w:val="el-GR"/>
        </w:rPr>
        <w:t xml:space="preserve"> 4.1.2.</w:t>
      </w:r>
      <w:r>
        <w:rPr>
          <w:lang w:val="el-GR"/>
        </w:rPr>
        <w:t xml:space="preserve">  Εγγύηση καλής λειτουργίας</w:t>
      </w:r>
    </w:p>
    <w:p w14:paraId="18C8555C" w14:textId="6887AA5A" w:rsidR="003929DA" w:rsidRDefault="003929DA" w:rsidP="005237FA">
      <w:pPr>
        <w:rPr>
          <w:lang w:val="el-GR"/>
        </w:rPr>
      </w:pPr>
      <w:r>
        <w:rPr>
          <w:lang w:val="el-GR"/>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r w:rsidR="00227727">
        <w:rPr>
          <w:lang w:val="el-GR"/>
        </w:rPr>
        <w:t>, όπως περιγράφεται στο ΠΑΡΑΡΤΗΜΑ … της παρούσας,</w:t>
      </w:r>
      <w:r>
        <w:rPr>
          <w:lang w:val="el-GR"/>
        </w:rPr>
        <w:t xml:space="preserve"> </w:t>
      </w:r>
    </w:p>
    <w:p w14:paraId="587F5A26" w14:textId="77777777" w:rsidR="003929DA" w:rsidRDefault="003929DA">
      <w:pPr>
        <w:pStyle w:val="2"/>
        <w:rPr>
          <w:lang w:val="el-GR"/>
        </w:rPr>
      </w:pPr>
      <w:bookmarkStart w:id="58" w:name="_Toc129004445"/>
      <w:r>
        <w:rPr>
          <w:lang w:val="el-GR"/>
        </w:rPr>
        <w:t xml:space="preserve">4.2 </w:t>
      </w:r>
      <w:r>
        <w:rPr>
          <w:lang w:val="el-GR"/>
        </w:rPr>
        <w:tab/>
        <w:t>Συμβατικό Πλαίσιο - Εφαρμοστέα Νομοθεσία</w:t>
      </w:r>
      <w:bookmarkEnd w:id="58"/>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59" w:name="_Toc129004446"/>
      <w:r>
        <w:rPr>
          <w:lang w:val="el-GR"/>
        </w:rPr>
        <w:t>4.3</w:t>
      </w:r>
      <w:r>
        <w:rPr>
          <w:lang w:val="el-GR"/>
        </w:rPr>
        <w:tab/>
        <w:t>Όροι εκτέλεσης της σύμβασης</w:t>
      </w:r>
      <w:bookmarkEnd w:id="59"/>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6AB495FB"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1"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2" w:anchor="art105_5" w:history="1">
        <w:r w:rsidRPr="007626C4">
          <w:rPr>
            <w:rStyle w:val="-"/>
            <w:color w:val="000000"/>
            <w:u w:val="none"/>
            <w:lang w:val="el-GR"/>
          </w:rPr>
          <w:t xml:space="preserve">παραγράφου </w:t>
        </w:r>
      </w:hyperlink>
      <w:hyperlink r:id="rId23" w:anchor="art105_5" w:history="1"/>
      <w:hyperlink r:id="rId24"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Pr="007626C4">
        <w:rPr>
          <w:rStyle w:val="-"/>
          <w:color w:val="auto"/>
          <w:u w:val="none"/>
          <w:vertAlign w:val="superscript"/>
          <w:lang w:val="el-GR"/>
        </w:rPr>
        <w:footnoteReference w:id="136"/>
      </w:r>
      <w:r w:rsidR="005237FA" w:rsidRPr="007626C4">
        <w:rPr>
          <w:rStyle w:val="-"/>
          <w:color w:val="auto"/>
          <w:u w:val="none"/>
          <w:vertAlign w:val="superscript"/>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379F263F"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0F584D68"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626C4">
        <w:rPr>
          <w:rStyle w:val="ad"/>
          <w:lang w:val="el-GR"/>
        </w:rPr>
        <w:footnoteReference w:id="137"/>
      </w:r>
      <w:r w:rsidRPr="007626C4">
        <w:rPr>
          <w:rStyle w:val="-"/>
          <w:color w:val="auto"/>
          <w:u w:val="none"/>
          <w:lang w:val="el-GR"/>
        </w:rPr>
        <w:t xml:space="preserve">.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60" w:name="_Toc129004447"/>
      <w:r>
        <w:rPr>
          <w:lang w:val="el-GR"/>
        </w:rPr>
        <w:t>4.4</w:t>
      </w:r>
      <w:r>
        <w:rPr>
          <w:lang w:val="el-GR"/>
        </w:rPr>
        <w:tab/>
        <w:t>Υπεργολαβία</w:t>
      </w:r>
      <w:bookmarkEnd w:id="60"/>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42F3B2B2" w14:textId="77777777" w:rsidR="00227727" w:rsidRDefault="003929DA">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38"/>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A1B262A"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w:t>
      </w:r>
      <w:r>
        <w:rPr>
          <w:lang w:val="el-GR"/>
        </w:rPr>
        <w:lastRenderedPageBreak/>
        <w:t xml:space="preserve">της </w:t>
      </w:r>
      <w:r w:rsidR="000A44F1">
        <w:rPr>
          <w:lang w:val="el-GR"/>
        </w:rPr>
        <w:t>παρούσας</w:t>
      </w:r>
      <w:r>
        <w:rPr>
          <w:lang w:val="el-GR"/>
        </w:rPr>
        <w:t xml:space="preserve">,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77777777" w:rsidR="003929DA" w:rsidRDefault="003929DA">
      <w:pPr>
        <w:pStyle w:val="2"/>
        <w:rPr>
          <w:lang w:val="el-GR"/>
        </w:rPr>
      </w:pPr>
      <w:bookmarkStart w:id="61" w:name="_Toc129004448"/>
      <w:r>
        <w:rPr>
          <w:lang w:val="el-GR"/>
        </w:rPr>
        <w:t>4.5</w:t>
      </w:r>
      <w:r>
        <w:rPr>
          <w:lang w:val="el-GR"/>
        </w:rPr>
        <w:tab/>
        <w:t>Τροποποίηση σύμβασης κατά τη διάρκειά της</w:t>
      </w:r>
      <w:r>
        <w:rPr>
          <w:rStyle w:val="WW-0"/>
          <w:rFonts w:ascii="Calibri" w:hAnsi="Calibri" w:cs="Calibri"/>
          <w:lang w:val="el-GR"/>
        </w:rPr>
        <w:footnoteReference w:id="139"/>
      </w:r>
      <w:bookmarkEnd w:id="61"/>
    </w:p>
    <w:p w14:paraId="40AEA80A" w14:textId="7B50ADD4" w:rsidR="003929DA" w:rsidRDefault="003929DA">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Pr>
          <w:lang w:val="el-GR"/>
        </w:rPr>
        <w:t>περ</w:t>
      </w:r>
      <w:proofErr w:type="spellEnd"/>
      <w:r>
        <w:rPr>
          <w:lang w:val="el-GR"/>
        </w:rPr>
        <w:t xml:space="preserve">. </w:t>
      </w:r>
      <w:proofErr w:type="spellStart"/>
      <w:r>
        <w:rPr>
          <w:lang w:val="el-GR"/>
        </w:rPr>
        <w:t>β</w:t>
      </w:r>
      <w:r w:rsidR="0055520C">
        <w:rPr>
          <w:lang w:val="el-GR"/>
        </w:rPr>
        <w:t>΄</w:t>
      </w:r>
      <w:proofErr w:type="spellEnd"/>
      <w:r>
        <w:rPr>
          <w:lang w:val="el-GR"/>
        </w:rPr>
        <w:t xml:space="preserve">  της παρ. 11 του άρθρου 221 του ν. 4412/</w:t>
      </w:r>
      <w:r w:rsidR="00D80B44">
        <w:rPr>
          <w:lang w:val="el-GR"/>
        </w:rPr>
        <w:t>2016.</w:t>
      </w:r>
      <w:r>
        <w:rPr>
          <w:rStyle w:val="WW-FootnoteReference5"/>
          <w:szCs w:val="22"/>
        </w:rPr>
        <w:footnoteReference w:id="140"/>
      </w:r>
      <w:r>
        <w:rPr>
          <w:rStyle w:val="WW-FootnoteReference5"/>
          <w:szCs w:val="22"/>
          <w:lang w:val="el-GR"/>
        </w:rPr>
        <w:t xml:space="preserve"> </w:t>
      </w:r>
      <w:r>
        <w:rPr>
          <w:rStyle w:val="FootnoteReference2"/>
          <w:szCs w:val="22"/>
          <w:lang w:val="el-GR"/>
        </w:rPr>
        <w:footnoteReference w:id="141"/>
      </w:r>
    </w:p>
    <w:p w14:paraId="6F56BB58" w14:textId="7B23AF3E"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vertAlign w:val="superscript"/>
        </w:rPr>
        <w:footnoteReference w:id="142"/>
      </w:r>
      <w:r w:rsidRPr="00570C40">
        <w:rPr>
          <w:lang w:val="el-GR"/>
        </w:rPr>
        <w:t xml:space="preserve">, όπως και σε περίπτωση καταγγελίας για όλους λόγους της παραγράφου 4.6, πλην αυτού της </w:t>
      </w:r>
      <w:proofErr w:type="spellStart"/>
      <w:r w:rsidRPr="00570C40">
        <w:rPr>
          <w:lang w:val="el-GR"/>
        </w:rPr>
        <w:t>περ</w:t>
      </w:r>
      <w:proofErr w:type="spellEnd"/>
      <w:r w:rsidRPr="00570C40">
        <w:rPr>
          <w:lang w:val="el-GR"/>
        </w:rPr>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43"/>
      </w:r>
      <w:r w:rsidRPr="00570C40">
        <w:rPr>
          <w:lang w:val="el-GR"/>
        </w:rPr>
        <w:t>.</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6D5E00D3" w14:textId="77777777" w:rsidR="003929DA" w:rsidRDefault="003929DA">
      <w:pPr>
        <w:rPr>
          <w:lang w:val="el-GR"/>
        </w:rPr>
      </w:pPr>
    </w:p>
    <w:p w14:paraId="4A52812F" w14:textId="77777777" w:rsidR="003929DA" w:rsidRDefault="003929DA">
      <w:pPr>
        <w:pStyle w:val="2"/>
        <w:rPr>
          <w:bCs/>
          <w:lang w:val="el-GR"/>
        </w:rPr>
      </w:pPr>
      <w:bookmarkStart w:id="62" w:name="_Toc129004449"/>
      <w:r>
        <w:rPr>
          <w:lang w:val="el-GR"/>
        </w:rPr>
        <w:t>4.6</w:t>
      </w:r>
      <w:r>
        <w:rPr>
          <w:lang w:val="el-GR"/>
        </w:rPr>
        <w:tab/>
        <w:t>Δικαίωμα μονομερούς λύσης της σύμβασης</w:t>
      </w:r>
      <w:r>
        <w:rPr>
          <w:rStyle w:val="WW-FootnoteReference12"/>
          <w:lang w:val="el-GR"/>
        </w:rPr>
        <w:footnoteReference w:id="144"/>
      </w:r>
      <w:bookmarkEnd w:id="62"/>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lastRenderedPageBreak/>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63" w:name="_Toc129004450"/>
      <w:r>
        <w:rPr>
          <w:lang w:val="el-GR"/>
        </w:rPr>
        <w:lastRenderedPageBreak/>
        <w:t>5.</w:t>
      </w:r>
      <w:r>
        <w:rPr>
          <w:lang w:val="el-GR"/>
        </w:rPr>
        <w:tab/>
        <w:t>ΕΙΔΙΚΟΙ ΟΡΟΙ ΕΚΤΕΛΕΣΗΣ ΤΗΣ ΣΥΜΒΑΣΗΣ</w:t>
      </w:r>
      <w:bookmarkEnd w:id="63"/>
      <w:r>
        <w:rPr>
          <w:lang w:val="el-GR"/>
        </w:rPr>
        <w:t xml:space="preserve"> </w:t>
      </w:r>
    </w:p>
    <w:p w14:paraId="7E576425" w14:textId="77777777" w:rsidR="003929DA" w:rsidRDefault="003929DA">
      <w:pPr>
        <w:pStyle w:val="2"/>
        <w:rPr>
          <w:bCs/>
          <w:lang w:val="el-GR"/>
        </w:rPr>
      </w:pPr>
      <w:bookmarkStart w:id="64" w:name="_Toc129004451"/>
      <w:r>
        <w:rPr>
          <w:lang w:val="el-GR"/>
        </w:rPr>
        <w:t>5.1</w:t>
      </w:r>
      <w:r>
        <w:rPr>
          <w:lang w:val="el-GR"/>
        </w:rPr>
        <w:tab/>
        <w:t>Τρόπος πληρωμής</w:t>
      </w:r>
      <w:r w:rsidR="00670518">
        <w:rPr>
          <w:rStyle w:val="ad"/>
          <w:lang w:val="el-GR"/>
        </w:rPr>
        <w:footnoteReference w:id="145"/>
      </w:r>
      <w:bookmarkEnd w:id="64"/>
      <w:r>
        <w:rPr>
          <w:lang w:val="el-GR"/>
        </w:rPr>
        <w:t xml:space="preserve"> </w:t>
      </w:r>
    </w:p>
    <w:p w14:paraId="79A9E75C" w14:textId="1E93E862"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061DA172" w14:textId="6D0621CC" w:rsidR="003929DA" w:rsidRPr="00227727" w:rsidRDefault="003929DA">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w:t>
      </w:r>
      <w:r w:rsidR="00A51A17">
        <w:rPr>
          <w:lang w:val="el-GR"/>
        </w:rPr>
        <w:t>αγαθ</w:t>
      </w:r>
      <w:r>
        <w:rPr>
          <w:lang w:val="el-GR"/>
        </w:rPr>
        <w:t>ών</w:t>
      </w:r>
      <w:r w:rsidR="00227727">
        <w:rPr>
          <w:lang w:val="el-GR"/>
        </w:rPr>
        <w:t>. Ο</w:t>
      </w:r>
      <w:r w:rsidRPr="00227727">
        <w:rPr>
          <w:iCs/>
          <w:spacing w:val="5"/>
          <w:kern w:val="1"/>
          <w:lang w:val="el-GR"/>
        </w:rPr>
        <w:t xml:space="preserve"> εν λόγω τρόπος πληρωμής εφαρμόζεται και στην περίπτωση τμηματικών παραδόσεων</w:t>
      </w:r>
      <w:r w:rsidR="00227727">
        <w:rPr>
          <w:iCs/>
          <w:spacing w:val="5"/>
          <w:kern w:val="1"/>
          <w:lang w:val="el-GR"/>
        </w:rPr>
        <w:t>.</w:t>
      </w:r>
    </w:p>
    <w:p w14:paraId="58B61710" w14:textId="1F4B7BAF" w:rsidR="003929DA" w:rsidRDefault="003929DA">
      <w:pPr>
        <w:rPr>
          <w:b/>
          <w:bCs/>
          <w:lang w:val="el-GR"/>
        </w:rPr>
      </w:pPr>
      <w:r>
        <w:rPr>
          <w:lang w:val="el-GR"/>
        </w:rPr>
        <w:t>Η πληρωμή του συμβατικού τιμήματος θα γίνεται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w:t>
      </w:r>
      <w:r>
        <w:rPr>
          <w:rStyle w:val="WW-FootnoteReference17"/>
          <w:lang w:val="el-GR"/>
        </w:rPr>
        <w:footnoteReference w:id="146"/>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5C9F9C73" w14:textId="2DD4A3B2"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7241C73C" w14:textId="77777777"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EB50BD">
        <w:rPr>
          <w:rFonts w:ascii="Trebuchet MS" w:hAnsi="Trebuchet MS"/>
          <w:color w:val="000000"/>
          <w:sz w:val="21"/>
          <w:szCs w:val="21"/>
          <w:shd w:val="clear" w:color="auto" w:fill="FFFFFF"/>
          <w:lang w:val="el-GR"/>
        </w:rPr>
        <w:t>άνω των χιλίων (1.000) ευρώ, μη συμπεριλαμβανομένου ΦΠΑ,</w:t>
      </w:r>
      <w:r w:rsidR="00D5130B" w:rsidRPr="00EB50BD">
        <w:rPr>
          <w:rFonts w:ascii="Trebuchet MS" w:hAnsi="Trebuchet MS"/>
          <w:color w:val="000000"/>
          <w:sz w:val="21"/>
          <w:szCs w:val="21"/>
          <w:shd w:val="clear" w:color="auto" w:fill="FFFFFF"/>
        </w:rPr>
        <w:t> </w:t>
      </w:r>
      <w:r w:rsidR="00BB4B13" w:rsidRPr="00EB50BD">
        <w:rPr>
          <w:rFonts w:ascii="Trebuchet MS" w:hAnsi="Trebuchet MS"/>
          <w:color w:val="000000"/>
          <w:sz w:val="21"/>
          <w:szCs w:val="21"/>
          <w:shd w:val="clear" w:color="auto" w:fill="FFFFFF"/>
          <w:lang w:val="el-GR"/>
        </w:rPr>
        <w:t>ανεξαρ</w:t>
      </w:r>
      <w:r w:rsidR="00BB4B13">
        <w:rPr>
          <w:rFonts w:ascii="Trebuchet MS" w:hAnsi="Trebuchet MS"/>
          <w:color w:val="000000"/>
          <w:sz w:val="21"/>
          <w:szCs w:val="21"/>
          <w:shd w:val="clear" w:color="auto" w:fill="FFFFFF"/>
          <w:lang w:val="el-GR"/>
        </w:rPr>
        <w:t>τήτως της πηγής προέλευσης της χρηματοδότησης,</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r w:rsidRPr="001C2776">
        <w:rPr>
          <w:rStyle w:val="WW-0"/>
          <w:lang w:val="el-GR"/>
        </w:rPr>
        <w:footnoteReference w:id="147"/>
      </w:r>
    </w:p>
    <w:p w14:paraId="1B338579" w14:textId="7FAD13E8"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0D2427" w:rsidRPr="000D2427">
        <w:rPr>
          <w:vertAlign w:val="superscript"/>
          <w:lang w:val="el-GR" w:eastAsia="zh-CN"/>
        </w:rPr>
        <w:t xml:space="preserve"> </w:t>
      </w:r>
      <w:r w:rsidR="000D2427" w:rsidRPr="000D2427">
        <w:rPr>
          <w:vertAlign w:val="superscript"/>
          <w:lang w:val="el-GR" w:eastAsia="zh-CN"/>
        </w:rPr>
        <w:footnoteReference w:id="148"/>
      </w:r>
      <w:r w:rsidR="00C53FB9" w:rsidRPr="000D2427">
        <w:rPr>
          <w:lang w:val="el-GR"/>
        </w:rPr>
        <w:t>.</w:t>
      </w:r>
    </w:p>
    <w:p w14:paraId="6551D2C3" w14:textId="77777777" w:rsidR="003929DA" w:rsidRDefault="003929DA">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14:paraId="0F0F7542" w14:textId="77777777" w:rsidR="003929DA" w:rsidRDefault="003929DA">
      <w:pPr>
        <w:rPr>
          <w:i/>
          <w:iCs/>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 επί του καθαρού ποσού </w:t>
      </w:r>
      <w:r>
        <w:rPr>
          <w:i/>
          <w:iCs/>
          <w:color w:val="5B9BD5"/>
          <w:spacing w:val="5"/>
          <w:kern w:val="1"/>
          <w:lang w:val="el-GR"/>
        </w:rPr>
        <w:t>[συμπληρώνεται από την Α.Α.]</w:t>
      </w:r>
    </w:p>
    <w:p w14:paraId="5F122676" w14:textId="34EC1E4C" w:rsidR="00CF5126" w:rsidRPr="009D34B5" w:rsidRDefault="00CF5126" w:rsidP="00CF5126">
      <w:pPr>
        <w:rPr>
          <w:lang w:val="el-GR"/>
        </w:rPr>
      </w:pPr>
      <w:r w:rsidRPr="009D34B5">
        <w:rPr>
          <w:b/>
          <w:bCs/>
          <w:lang w:val="el-GR"/>
        </w:rPr>
        <w:t>5.1.3.</w:t>
      </w:r>
      <w:r w:rsidR="00802C39" w:rsidRPr="009D34B5">
        <w:rPr>
          <w:b/>
          <w:bCs/>
          <w:lang w:val="el-GR"/>
        </w:rPr>
        <w:t xml:space="preserve"> </w:t>
      </w:r>
      <w:r w:rsidR="00802C39" w:rsidRPr="009D34B5">
        <w:rPr>
          <w:bCs/>
          <w:lang w:val="el-GR"/>
        </w:rPr>
        <w:t>Σε περίπτωση υποβολής ηλεκτρονικού τιμολογίου</w:t>
      </w:r>
      <w:r w:rsidR="00802C39" w:rsidRPr="009D34B5">
        <w:rPr>
          <w:lang w:val="el-GR"/>
        </w:rPr>
        <w:t xml:space="preserve">,  ο ανάδοχος συμπληρώνει </w:t>
      </w:r>
      <w:r w:rsidRPr="009D34B5">
        <w:rPr>
          <w:lang w:val="el-GR"/>
        </w:rPr>
        <w:t xml:space="preserve"> </w:t>
      </w:r>
      <w:r w:rsidR="00802C39" w:rsidRPr="009D34B5">
        <w:rPr>
          <w:lang w:val="el-GR"/>
        </w:rPr>
        <w:t>σ</w:t>
      </w:r>
      <w:r w:rsidRPr="009D34B5">
        <w:rPr>
          <w:lang w:val="el-GR"/>
        </w:rPr>
        <w:t xml:space="preserve">το πεδίο </w:t>
      </w:r>
      <w:r w:rsidRPr="009D34B5">
        <w:rPr>
          <w:lang w:val="en-US"/>
        </w:rPr>
        <w:t>BT</w:t>
      </w:r>
      <w:r w:rsidRPr="009D34B5">
        <w:rPr>
          <w:lang w:val="el-GR"/>
        </w:rPr>
        <w:t xml:space="preserve">-11: Στοιχείο αναφοράς αγαθού του Εθνικού </w:t>
      </w:r>
      <w:proofErr w:type="spellStart"/>
      <w:r w:rsidRPr="009D34B5">
        <w:rPr>
          <w:lang w:val="el-GR"/>
        </w:rPr>
        <w:t>Μορφότυπου</w:t>
      </w:r>
      <w:proofErr w:type="spellEnd"/>
      <w:r w:rsidRPr="009D34B5">
        <w:rPr>
          <w:lang w:val="el-GR"/>
        </w:rPr>
        <w:t xml:space="preserve"> Ηλεκτρονικού Τιμολογίου</w:t>
      </w:r>
      <w:r w:rsidRPr="009D34B5">
        <w:rPr>
          <w:rStyle w:val="ad"/>
          <w:lang w:val="el-GR"/>
        </w:rPr>
        <w:footnoteReference w:id="149"/>
      </w:r>
      <w:r w:rsidRPr="009D34B5">
        <w:rPr>
          <w:lang w:val="el-GR"/>
        </w:rPr>
        <w:t>:</w:t>
      </w:r>
    </w:p>
    <w:p w14:paraId="54FCEBC8" w14:textId="6A3FC141" w:rsidR="00CF5126" w:rsidRPr="009D34B5" w:rsidRDefault="00CF5126" w:rsidP="00CF5126">
      <w:pPr>
        <w:ind w:left="567" w:right="42"/>
        <w:rPr>
          <w:i/>
          <w:iCs/>
          <w:szCs w:val="22"/>
          <w:lang w:val="el-GR"/>
        </w:rPr>
      </w:pPr>
      <w:r w:rsidRPr="009D34B5">
        <w:rPr>
          <w:i/>
          <w:iCs/>
          <w:szCs w:val="22"/>
          <w:lang w:val="el-GR"/>
        </w:rPr>
        <w:t>2</w:t>
      </w:r>
      <w:r w:rsidR="00471380">
        <w:rPr>
          <w:i/>
          <w:iCs/>
          <w:szCs w:val="22"/>
          <w:lang w:val="el-GR"/>
        </w:rPr>
        <w:t>)</w:t>
      </w:r>
      <w:r w:rsidRPr="009D34B5">
        <w:rPr>
          <w:i/>
          <w:iCs/>
          <w:szCs w:val="22"/>
          <w:lang w:val="el-GR"/>
        </w:rPr>
        <w:t xml:space="preserve"> </w:t>
      </w:r>
      <w:r w:rsidR="00471380">
        <w:rPr>
          <w:i/>
          <w:iCs/>
          <w:szCs w:val="22"/>
          <w:lang w:val="el-GR"/>
        </w:rPr>
        <w:t>«</w:t>
      </w:r>
      <w:r w:rsidRPr="009D34B5">
        <w:rPr>
          <w:i/>
          <w:iCs/>
          <w:szCs w:val="22"/>
          <w:lang w:val="el-GR"/>
        </w:rPr>
        <w:t xml:space="preserve">ο κωδικοποιημένος </w:t>
      </w:r>
      <w:proofErr w:type="spellStart"/>
      <w:r w:rsidRPr="009D34B5">
        <w:rPr>
          <w:i/>
          <w:iCs/>
          <w:szCs w:val="22"/>
          <w:lang w:val="el-GR"/>
        </w:rPr>
        <w:t>Ενάριθμος</w:t>
      </w:r>
      <w:proofErr w:type="spellEnd"/>
      <w:r w:rsidRPr="009D34B5">
        <w:rPr>
          <w:i/>
          <w:iCs/>
          <w:szCs w:val="22"/>
          <w:lang w:val="el-GR"/>
        </w:rPr>
        <w:t xml:space="preserve">» </w:t>
      </w:r>
      <w:r w:rsidRPr="009D34B5">
        <w:rPr>
          <w:i/>
          <w:iCs/>
          <w:color w:val="5B9BD5"/>
          <w:spacing w:val="5"/>
          <w:kern w:val="1"/>
          <w:lang w:val="el-GR"/>
        </w:rPr>
        <w:t xml:space="preserve">, </w:t>
      </w:r>
    </w:p>
    <w:p w14:paraId="34E20875" w14:textId="77777777" w:rsidR="003929DA" w:rsidRDefault="003929DA">
      <w:pPr>
        <w:pStyle w:val="2"/>
        <w:rPr>
          <w:bCs/>
          <w:lang w:val="el-GR"/>
        </w:rPr>
      </w:pPr>
      <w:bookmarkStart w:id="65" w:name="_Toc129004452"/>
      <w:r>
        <w:rPr>
          <w:lang w:val="el-GR"/>
        </w:rPr>
        <w:t>5.2</w:t>
      </w:r>
      <w:r>
        <w:rPr>
          <w:lang w:val="el-GR"/>
        </w:rPr>
        <w:tab/>
        <w:t>Κήρυξη οικονομικού φορέα εκπτώτου - Κυρώσεις</w:t>
      </w:r>
      <w:bookmarkEnd w:id="65"/>
      <w:r>
        <w:rPr>
          <w:lang w:val="el-GR"/>
        </w:rPr>
        <w:t xml:space="preserve"> </w:t>
      </w:r>
    </w:p>
    <w:p w14:paraId="5E6B4B8A"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50"/>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lastRenderedPageBreak/>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7E7D2463"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757551">
        <w:rPr>
          <w:lang w:val="el-GR"/>
        </w:rPr>
        <w:t xml:space="preserve">, </w:t>
      </w:r>
      <w:r w:rsidR="003929DA" w:rsidRPr="00845A73">
        <w:rPr>
          <w:lang w:val="el-GR"/>
        </w:rPr>
        <w:t>με την επιφύλαξη της επόμενης παραγράφου</w:t>
      </w:r>
      <w:r w:rsidR="00F44003" w:rsidRPr="00845A73">
        <w:rPr>
          <w:lang w:val="el-GR"/>
        </w:rPr>
        <w:t>.</w:t>
      </w:r>
    </w:p>
    <w:p w14:paraId="01E2DE73" w14:textId="4ECE8047"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proofErr w:type="spellStart"/>
      <w:r w:rsidR="00F44003" w:rsidRPr="00845A73">
        <w:rPr>
          <w:lang w:val="el-GR"/>
        </w:rPr>
        <w:t>γ</w:t>
      </w:r>
      <w:r w:rsidR="0037098A">
        <w:rPr>
          <w:lang w:val="el-GR"/>
        </w:rPr>
        <w:t>΄</w:t>
      </w:r>
      <w:proofErr w:type="spellEnd"/>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5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757551">
        <w:rPr>
          <w:lang w:val="el-GR"/>
        </w:rPr>
        <w:t xml:space="preserve">είκοσι (20) </w:t>
      </w:r>
      <w:r w:rsidRPr="00845A73">
        <w:rPr>
          <w:lang w:val="el-GR"/>
        </w:rPr>
        <w:t>ημερών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13374968" w:rsidR="003929DA" w:rsidRDefault="003929DA">
      <w:pPr>
        <w:suppressAutoHyphens w:val="0"/>
        <w:autoSpaceDE w:val="0"/>
        <w:rPr>
          <w:lang w:val="el-GR"/>
        </w:rPr>
      </w:pPr>
      <w:r>
        <w:rPr>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Pr>
          <w:lang w:val="el-GR"/>
        </w:rPr>
        <w:t xml:space="preserve"> είτε με διενέργεια νέας διαδικασίας ανάθεσης σύμβασης</w:t>
      </w:r>
      <w:r w:rsidR="009F06DC">
        <w:rPr>
          <w:lang w:val="el-GR"/>
        </w:rPr>
        <w:t>,</w:t>
      </w:r>
      <w:r>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109D55B" w14:textId="528CF717"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Pr="00757551">
        <w:rPr>
          <w:lang w:val="el-GR"/>
        </w:rPr>
        <w:t>1,01</w:t>
      </w:r>
      <w:r w:rsidR="00757551">
        <w:rPr>
          <w:lang w:val="el-GR"/>
        </w:rPr>
        <w:t>.</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3B8CC63" w14:textId="078D3820" w:rsidR="00DD64DF" w:rsidRPr="00845A73" w:rsidRDefault="00DD64DF" w:rsidP="00DD64DF">
      <w:pPr>
        <w:suppressAutoHyphens w:val="0"/>
        <w:autoSpaceDE w:val="0"/>
        <w:rPr>
          <w:lang w:val="el-GR"/>
        </w:rPr>
      </w:pPr>
      <w:r w:rsidRPr="00845A73">
        <w:rPr>
          <w:lang w:val="el-GR"/>
        </w:rPr>
        <w:lastRenderedPageBreak/>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p>
    <w:p w14:paraId="2385C5E3" w14:textId="38589036"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4412/16, επιβάλλεται πρόστιμο</w:t>
      </w:r>
      <w:r>
        <w:rPr>
          <w:rStyle w:val="WW-FootnoteReference14"/>
          <w:lang w:val="el-GR"/>
        </w:rPr>
        <w:footnoteReference w:id="152"/>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παραδοθέντων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681A0329" w14:textId="77777777" w:rsidR="003929DA" w:rsidRDefault="003929DA">
      <w:pPr>
        <w:pStyle w:val="2"/>
        <w:suppressAutoHyphens w:val="0"/>
        <w:autoSpaceDE w:val="0"/>
        <w:rPr>
          <w:lang w:val="el-GR"/>
        </w:rPr>
      </w:pPr>
      <w:bookmarkStart w:id="66" w:name="_Toc129004453"/>
      <w:r>
        <w:rPr>
          <w:lang w:val="el-GR"/>
        </w:rPr>
        <w:t>5.3</w:t>
      </w:r>
      <w:r>
        <w:rPr>
          <w:lang w:val="el-GR"/>
        </w:rPr>
        <w:tab/>
        <w:t>Διοικητικές προσφυγές κατά τη διαδικασία εκτέλεσης των συμβάσεων</w:t>
      </w:r>
      <w:r>
        <w:rPr>
          <w:rStyle w:val="WW-FootnoteReference14"/>
        </w:rPr>
        <w:footnoteReference w:id="153"/>
      </w:r>
      <w:bookmarkEnd w:id="66"/>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Pr>
          <w:lang w:val="el-GR"/>
        </w:rPr>
        <w:t>β΄</w:t>
      </w:r>
      <w:proofErr w:type="spellEnd"/>
      <w:r>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67" w:name="_Toc129004454"/>
      <w:r>
        <w:rPr>
          <w:lang w:val="el-GR"/>
        </w:rPr>
        <w:t>5.4</w:t>
      </w:r>
      <w:r>
        <w:rPr>
          <w:lang w:val="el-GR"/>
        </w:rPr>
        <w:tab/>
        <w:t>Δικαστική επίλυση διαφορών</w:t>
      </w:r>
      <w:bookmarkEnd w:id="67"/>
    </w:p>
    <w:p w14:paraId="3D87E27C" w14:textId="43CB6ED9"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w:t>
      </w:r>
      <w:r>
        <w:rPr>
          <w:rStyle w:val="WW-0"/>
          <w:lang w:val="el-GR"/>
        </w:rPr>
        <w:footnoteReference w:id="154"/>
      </w:r>
      <w:r>
        <w:rPr>
          <w:lang w:val="el-GR"/>
        </w:rPr>
        <w:t xml:space="preserve">.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68" w:name="_Toc129004455"/>
      <w:r>
        <w:rPr>
          <w:lang w:val="el-GR"/>
        </w:rPr>
        <w:lastRenderedPageBreak/>
        <w:t>6.</w:t>
      </w:r>
      <w:r>
        <w:rPr>
          <w:lang w:val="el-GR"/>
        </w:rPr>
        <w:tab/>
      </w:r>
      <w:r w:rsidR="00FD79FD">
        <w:rPr>
          <w:lang w:val="el-GR"/>
        </w:rPr>
        <w:t>ΧΡΟΝΟΣ ΚΑΙ ΤΡΟΠΟΣ ΕΚΤΕΛΕΣΗΣ</w:t>
      </w:r>
      <w:bookmarkEnd w:id="68"/>
      <w:r>
        <w:rPr>
          <w:lang w:val="el-GR"/>
        </w:rPr>
        <w:t xml:space="preserve"> </w:t>
      </w:r>
    </w:p>
    <w:p w14:paraId="615568AB" w14:textId="77777777" w:rsidR="003929DA" w:rsidRPr="00BD65F6" w:rsidRDefault="003929DA">
      <w:pPr>
        <w:pStyle w:val="2"/>
        <w:rPr>
          <w:rFonts w:ascii="Calibri" w:hAnsi="Calibri" w:cs="Calibri"/>
          <w:bCs/>
          <w:sz w:val="22"/>
          <w:lang w:val="el-GR"/>
        </w:rPr>
      </w:pPr>
      <w:bookmarkStart w:id="69" w:name="_Toc129004456"/>
      <w:r>
        <w:rPr>
          <w:lang w:val="el-GR"/>
        </w:rPr>
        <w:t xml:space="preserve">6.1 </w:t>
      </w:r>
      <w:r>
        <w:rPr>
          <w:lang w:val="el-GR"/>
        </w:rPr>
        <w:tab/>
        <w:t xml:space="preserve">Χρόνος παράδοσης </w:t>
      </w:r>
      <w:r w:rsidR="00A51A17">
        <w:rPr>
          <w:lang w:val="el-GR"/>
        </w:rPr>
        <w:t>αγαθ</w:t>
      </w:r>
      <w:r>
        <w:rPr>
          <w:lang w:val="el-GR"/>
        </w:rPr>
        <w:t>ών</w:t>
      </w:r>
      <w:bookmarkEnd w:id="69"/>
    </w:p>
    <w:p w14:paraId="6C8CF9EF" w14:textId="77777777" w:rsidR="00757551" w:rsidRDefault="003929DA" w:rsidP="00757551">
      <w:pPr>
        <w:pStyle w:val="Standard"/>
        <w:widowControl/>
        <w:spacing w:after="120"/>
        <w:jc w:val="both"/>
        <w:textAlignment w:val="auto"/>
        <w:rPr>
          <w:rFonts w:ascii="Calibri" w:eastAsia="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w:t>
      </w:r>
      <w:r w:rsidR="00A51A17">
        <w:rPr>
          <w:rFonts w:ascii="Calibri" w:hAnsi="Calibri" w:cs="Calibri"/>
          <w:sz w:val="22"/>
          <w:lang w:eastAsia="ar-SA" w:bidi="ar-SA"/>
        </w:rPr>
        <w:t>αγαθ</w:t>
      </w:r>
      <w:r>
        <w:rPr>
          <w:rFonts w:ascii="Calibri" w:hAnsi="Calibri" w:cs="Calibri"/>
          <w:sz w:val="22"/>
          <w:lang w:eastAsia="ar-SA" w:bidi="ar-SA"/>
        </w:rPr>
        <w:t>ά</w:t>
      </w:r>
      <w:r w:rsidR="00757551" w:rsidRPr="00757551">
        <w:t xml:space="preserve"> </w:t>
      </w:r>
      <w:r w:rsidR="00757551" w:rsidRPr="00757551">
        <w:rPr>
          <w:rFonts w:ascii="Calibri" w:eastAsia="Calibri" w:hAnsi="Calibri" w:cs="Calibri"/>
          <w:sz w:val="22"/>
          <w:lang w:eastAsia="ar-SA" w:bidi="ar-SA"/>
        </w:rPr>
        <w:t>μέσα στο χρόνο που περιγράφεται στο έγγραφο της σύμβασης</w:t>
      </w:r>
      <w:r w:rsidR="00757551">
        <w:rPr>
          <w:rFonts w:ascii="Calibri" w:eastAsia="Calibri" w:hAnsi="Calibri" w:cs="Calibri"/>
          <w:sz w:val="22"/>
          <w:lang w:eastAsia="ar-SA" w:bidi="ar-SA"/>
        </w:rPr>
        <w:t>.</w:t>
      </w:r>
    </w:p>
    <w:p w14:paraId="40DE41B1" w14:textId="775D38D6" w:rsidR="00A72E12" w:rsidRDefault="003929DA" w:rsidP="00757551">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55"/>
      </w:r>
      <w:r w:rsidR="00A72E12" w:rsidRPr="00A72E12">
        <w:rPr>
          <w:rFonts w:ascii="Calibri" w:hAnsi="Calibri" w:cs="Calibri"/>
          <w:sz w:val="22"/>
          <w:lang w:eastAsia="ar-SA" w:bidi="ar-SA"/>
        </w:rPr>
        <w:t>.</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Pr>
          <w:rFonts w:ascii="Calibri" w:hAnsi="Calibri" w:cs="Calibri"/>
          <w:sz w:val="22"/>
          <w:lang w:eastAsia="ar-SA" w:bidi="ar-SA"/>
        </w:rPr>
        <w:t>περ</w:t>
      </w:r>
      <w:proofErr w:type="spellEnd"/>
      <w:r>
        <w:rPr>
          <w:rFonts w:ascii="Calibri" w:hAnsi="Calibri" w:cs="Calibri"/>
          <w:sz w:val="22"/>
          <w:lang w:eastAsia="ar-SA" w:bidi="ar-SA"/>
        </w:rPr>
        <w:t xml:space="preserve">.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
        <w:ind w:left="0" w:firstLine="0"/>
        <w:rPr>
          <w:lang w:val="el-GR"/>
        </w:rPr>
      </w:pPr>
      <w:bookmarkStart w:id="70" w:name="_Toc129004457"/>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0"/>
    </w:p>
    <w:p w14:paraId="7A269FF5" w14:textId="25F4DFF2" w:rsidR="003929DA" w:rsidRDefault="003929DA">
      <w:pPr>
        <w:rPr>
          <w:lang w:val="el-GR"/>
        </w:rPr>
      </w:pPr>
      <w:r>
        <w:rPr>
          <w:b/>
          <w:lang w:val="el-GR"/>
        </w:rPr>
        <w:t>6.2.1.</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proofErr w:type="spellStart"/>
      <w:r w:rsidR="00AD60A6">
        <w:rPr>
          <w:lang w:val="el-GR"/>
        </w:rPr>
        <w:t>περ</w:t>
      </w:r>
      <w:proofErr w:type="spellEnd"/>
      <w:r w:rsidR="00AD60A6">
        <w:rPr>
          <w:lang w:val="el-GR"/>
        </w:rPr>
        <w:t>.</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4412/16</w:t>
      </w:r>
      <w:r>
        <w:rPr>
          <w:rStyle w:val="WW-FootnoteReference15"/>
          <w:lang w:val="el-GR"/>
        </w:rPr>
        <w:footnoteReference w:id="156"/>
      </w:r>
      <w:r>
        <w:rPr>
          <w:lang w:val="el-GR"/>
        </w:rPr>
        <w:t xml:space="preserve"> </w:t>
      </w:r>
      <w:r w:rsidR="009B2C8B">
        <w:rPr>
          <w:lang w:val="el-GR"/>
        </w:rPr>
        <w:t xml:space="preserve">κατά τα </w:t>
      </w:r>
      <w:r>
        <w:rPr>
          <w:lang w:val="el-GR"/>
        </w:rPr>
        <w:t xml:space="preserve">οριζόμενα στο άρθρο 208 του ως άνω νόμου και το </w:t>
      </w:r>
      <w:proofErr w:type="spellStart"/>
      <w:r>
        <w:rPr>
          <w:lang w:val="el-GR"/>
        </w:rPr>
        <w:t>Παράρτημα....της</w:t>
      </w:r>
      <w:proofErr w:type="spellEnd"/>
      <w:r>
        <w:rPr>
          <w:lang w:val="el-GR"/>
        </w:rPr>
        <w:t xml:space="preserve"> παρούσας</w:t>
      </w:r>
      <w:r w:rsidR="00757551">
        <w:rPr>
          <w:lang w:val="el-GR"/>
        </w:rPr>
        <w:t>.</w:t>
      </w:r>
      <w:r w:rsidRPr="00845A73">
        <w:rPr>
          <w:rFonts w:eastAsia="SimSun"/>
          <w:i/>
          <w:iCs/>
          <w:color w:val="5B9BD5"/>
          <w:spacing w:val="5"/>
          <w:kern w:val="1"/>
          <w:lang w:val="el-GR"/>
        </w:rPr>
        <w:t>.</w:t>
      </w:r>
      <w:r>
        <w:rPr>
          <w:lang w:val="el-GR"/>
        </w:rPr>
        <w:t xml:space="preserve"> Κατά την διαδικασία παραλαβής των </w:t>
      </w:r>
      <w:r w:rsidR="00A51A17">
        <w:rPr>
          <w:lang w:val="el-GR"/>
        </w:rPr>
        <w:lastRenderedPageBreak/>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09B78A42" w14:textId="2F7550B6" w:rsidR="003929DA" w:rsidRDefault="003929DA">
      <w:pPr>
        <w:rPr>
          <w:lang w:val="el-GR"/>
        </w:rPr>
      </w:pPr>
      <w:r>
        <w:rPr>
          <w:b/>
          <w:lang w:val="el-GR"/>
        </w:rPr>
        <w:t>6.2.2.</w:t>
      </w:r>
      <w:r>
        <w:rPr>
          <w:lang w:val="el-GR"/>
        </w:rPr>
        <w:t xml:space="preserve"> Η παραλαβή των </w:t>
      </w:r>
      <w:r w:rsidR="00A51A17">
        <w:rPr>
          <w:lang w:val="el-GR"/>
        </w:rPr>
        <w:t>αγαθ</w:t>
      </w:r>
      <w:r>
        <w:rPr>
          <w:lang w:val="el-GR"/>
        </w:rPr>
        <w:t xml:space="preserve">ών και η έκδοση των σχετικών πρωτοκόλλων παραλαβής πραγματοποιείται μέσα στους </w:t>
      </w:r>
      <w:r w:rsidR="00757551">
        <w:rPr>
          <w:lang w:val="el-GR"/>
        </w:rPr>
        <w:t xml:space="preserve">κατωτέρω καθοριζόμενους χρόνους από </w:t>
      </w:r>
      <w:r w:rsidR="00757551" w:rsidRPr="00757551">
        <w:rPr>
          <w:lang w:val="el-GR"/>
        </w:rPr>
        <w:t>το</w:t>
      </w:r>
      <w:r w:rsidR="00C93713" w:rsidRPr="00757551">
        <w:rPr>
          <w:iCs/>
          <w:spacing w:val="5"/>
          <w:kern w:val="1"/>
          <w:lang w:val="el-GR"/>
        </w:rPr>
        <w:t xml:space="preserve"> έγγραφο της σύμβασης</w:t>
      </w:r>
      <w:r w:rsidR="00757551">
        <w:rPr>
          <w:iCs/>
          <w:spacing w:val="5"/>
          <w:kern w:val="1"/>
          <w:lang w:val="el-GR"/>
        </w:rPr>
        <w:t>.</w:t>
      </w:r>
    </w:p>
    <w:p w14:paraId="613FAC1D" w14:textId="52905741"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σύμφωνα με όσα ορίζονται σ</w:t>
      </w:r>
      <w:r w:rsidR="00757551">
        <w:rPr>
          <w:lang w:val="el-GR"/>
        </w:rPr>
        <w:t xml:space="preserve">το έγγραφο της σύμβασης,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14:paraId="62BABFD5" w14:textId="3F36BD59"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r>
        <w:rPr>
          <w:rStyle w:val="WW-FootnoteReference15"/>
          <w:lang w:val="el-GR"/>
        </w:rPr>
        <w:footnoteReference w:id="157"/>
      </w:r>
    </w:p>
    <w:p w14:paraId="315E2C6A" w14:textId="77777777" w:rsidR="003929DA" w:rsidRDefault="003929DA">
      <w:pPr>
        <w:pStyle w:val="2"/>
        <w:tabs>
          <w:tab w:val="clear" w:pos="567"/>
          <w:tab w:val="left" w:pos="563"/>
        </w:tabs>
        <w:rPr>
          <w:i/>
          <w:iCs/>
          <w:color w:val="5B9BD5"/>
          <w:spacing w:val="5"/>
          <w:kern w:val="1"/>
          <w:lang w:val="el-GR"/>
        </w:rPr>
      </w:pPr>
      <w:bookmarkStart w:id="71" w:name="_Toc129004458"/>
      <w:r>
        <w:rPr>
          <w:lang w:val="el-GR"/>
        </w:rPr>
        <w:lastRenderedPageBreak/>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1"/>
    </w:p>
    <w:p w14:paraId="55A2A2B8" w14:textId="77777777" w:rsidR="003929DA" w:rsidRDefault="003929DA">
      <w:pPr>
        <w:pStyle w:val="2"/>
        <w:rPr>
          <w:rFonts w:eastAsia="SimSun"/>
          <w:bCs/>
          <w:lang w:val="el-GR"/>
        </w:rPr>
      </w:pPr>
      <w:bookmarkStart w:id="72" w:name="_Toc129004459"/>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72"/>
    </w:p>
    <w:p w14:paraId="5B49500C" w14:textId="2803849B"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3A1FAE92" w14:textId="77777777" w:rsidR="003929DA" w:rsidRDefault="003929DA">
      <w:pPr>
        <w:rPr>
          <w:lang w:val="el-GR"/>
        </w:rPr>
      </w:pPr>
    </w:p>
    <w:p w14:paraId="6C78E689" w14:textId="77777777" w:rsidR="003929DA" w:rsidRDefault="003929DA">
      <w:pPr>
        <w:pStyle w:val="1"/>
        <w:spacing w:before="57" w:after="57"/>
        <w:rPr>
          <w:lang w:val="el-GR"/>
        </w:rPr>
      </w:pPr>
      <w:bookmarkStart w:id="73" w:name="_Toc129004463"/>
      <w:r>
        <w:rPr>
          <w:rFonts w:ascii="Calibri" w:hAnsi="Calibri" w:cs="Calibri"/>
          <w:lang w:val="el-GR"/>
        </w:rPr>
        <w:lastRenderedPageBreak/>
        <w:t>ΠΑΡΑΡΤΗΜΑΤΑ</w:t>
      </w:r>
      <w:bookmarkEnd w:id="73"/>
    </w:p>
    <w:p w14:paraId="75310B41" w14:textId="77777777" w:rsidR="003929DA" w:rsidRDefault="003929DA" w:rsidP="00C513BF">
      <w:pPr>
        <w:rPr>
          <w:lang w:val="el-GR"/>
        </w:rPr>
      </w:pPr>
    </w:p>
    <w:p w14:paraId="3F097C17" w14:textId="18F911AF" w:rsidR="003929DA" w:rsidRPr="00BD65F6" w:rsidRDefault="003929DA" w:rsidP="00E17BC4">
      <w:pPr>
        <w:pStyle w:val="2"/>
        <w:tabs>
          <w:tab w:val="clear" w:pos="567"/>
          <w:tab w:val="left" w:pos="0"/>
        </w:tabs>
        <w:spacing w:before="57" w:after="57"/>
        <w:ind w:left="0" w:firstLine="0"/>
        <w:rPr>
          <w:rFonts w:eastAsia="SimSun"/>
          <w:i/>
          <w:iCs/>
          <w:color w:val="5B9BD5"/>
          <w:lang w:val="el-GR"/>
        </w:rPr>
      </w:pPr>
      <w:bookmarkStart w:id="74" w:name="_Toc129004464"/>
      <w:r>
        <w:rPr>
          <w:lang w:val="el-GR"/>
        </w:rPr>
        <w:t xml:space="preserve">ΠΑΡΑΡΤΗΜΑ Ι – Αναλυτική Περιγραφή Φυσικού και Οικονομικού Αντικειμένου της Σύμβασης </w:t>
      </w:r>
      <w:bookmarkEnd w:id="74"/>
    </w:p>
    <w:p w14:paraId="69EA4469" w14:textId="77777777" w:rsidR="003929DA" w:rsidRDefault="003929DA">
      <w:pPr>
        <w:pStyle w:val="normalwithoutspacing"/>
        <w:spacing w:before="57" w:after="57"/>
        <w:rPr>
          <w:rFonts w:eastAsia="SimSun"/>
          <w:i/>
          <w:iCs/>
          <w:color w:val="5B9BD5"/>
          <w:szCs w:val="22"/>
        </w:rPr>
      </w:pPr>
    </w:p>
    <w:p w14:paraId="5B4F69FA" w14:textId="77777777"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0ACD8E50"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ΓΕΝΙΚΟ  ΣΥΝΟΛΟ:</w:t>
      </w:r>
      <w:r w:rsidRPr="00ED1C0D">
        <w:rPr>
          <w:rFonts w:eastAsia="SimSun"/>
          <w:b/>
          <w:iCs/>
          <w:szCs w:val="22"/>
        </w:rPr>
        <w:tab/>
        <w:t xml:space="preserve">(60.000,00€) Εξήντα </w:t>
      </w:r>
      <w:proofErr w:type="spellStart"/>
      <w:r w:rsidRPr="00ED1C0D">
        <w:rPr>
          <w:rFonts w:eastAsia="SimSun"/>
          <w:b/>
          <w:iCs/>
          <w:szCs w:val="22"/>
        </w:rPr>
        <w:t>χιλιάδες(€)συμπεριλαμβανομένου</w:t>
      </w:r>
      <w:proofErr w:type="spellEnd"/>
      <w:r w:rsidRPr="00ED1C0D">
        <w:rPr>
          <w:rFonts w:eastAsia="SimSun"/>
          <w:b/>
          <w:iCs/>
          <w:szCs w:val="22"/>
        </w:rPr>
        <w:t xml:space="preserve"> του Φ.Π.Α. 24%.</w:t>
      </w:r>
    </w:p>
    <w:p w14:paraId="0AD957DA"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ΤΕΧΝΙΚΕΣ ΠΡΟΔΙΑΓΡΑΦΕΣ</w:t>
      </w:r>
    </w:p>
    <w:p w14:paraId="4F0BEFEE"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3.1.  ΓΕΝΙΚΑ ΧΑΡΑΚΤΗΡΙΣΤΙΚΑ</w:t>
      </w:r>
    </w:p>
    <w:p w14:paraId="6121CB22" w14:textId="346D9246" w:rsidR="00ED1C0D" w:rsidRPr="00ED1C0D" w:rsidRDefault="00ED1C0D" w:rsidP="00ED1C0D">
      <w:pPr>
        <w:pStyle w:val="normalwithoutspacing"/>
        <w:spacing w:before="57" w:after="57"/>
        <w:rPr>
          <w:rFonts w:eastAsia="SimSun"/>
          <w:iCs/>
          <w:szCs w:val="22"/>
        </w:rPr>
      </w:pPr>
      <w:r w:rsidRPr="00ED1C0D">
        <w:rPr>
          <w:rFonts w:eastAsia="SimSun"/>
          <w:iCs/>
          <w:szCs w:val="22"/>
        </w:rPr>
        <w:t>Το αυτοκίνητο πλαίσιο και η υπερκατασκευή θα είναι καινούργια και θα ανταποκρίνονται πλήρως στον σκοπό για τον οποίο προορίζονται ήτοι για μεταφορά διαφόρων υλικών.</w:t>
      </w:r>
    </w:p>
    <w:p w14:paraId="687AC19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Ο προμηθευτής είναι υποχρεωμένος όπως με την παράδοση του οχήματος να καταθέσει τη σχετική έγκριση τύπου του πλήρους οχήματος (πλαίσιο και υπερκατασκευή), ώστε να είναι δυνατή η έκδοση πινακίδων και άδειας κυκλοφορίας. </w:t>
      </w:r>
    </w:p>
    <w:p w14:paraId="4861FA26" w14:textId="77777777" w:rsidR="00ED1C0D" w:rsidRPr="00ED1C0D" w:rsidRDefault="00ED1C0D" w:rsidP="00ED1C0D">
      <w:pPr>
        <w:pStyle w:val="normalwithoutspacing"/>
        <w:spacing w:before="57" w:after="57"/>
        <w:rPr>
          <w:rFonts w:eastAsia="SimSun"/>
          <w:iCs/>
          <w:szCs w:val="22"/>
        </w:rPr>
      </w:pPr>
    </w:p>
    <w:p w14:paraId="71C66F66"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ΑΠΟΚΛΙΣΕΙΣ</w:t>
      </w:r>
    </w:p>
    <w:p w14:paraId="4C01EC96" w14:textId="6A916490" w:rsidR="00ED1C0D" w:rsidRPr="00ED1C0D" w:rsidRDefault="00ED1C0D" w:rsidP="00ED1C0D">
      <w:pPr>
        <w:pStyle w:val="normalwithoutspacing"/>
        <w:spacing w:before="57" w:after="57"/>
        <w:rPr>
          <w:rFonts w:eastAsia="SimSun"/>
          <w:iCs/>
          <w:szCs w:val="22"/>
        </w:rPr>
      </w:pPr>
      <w:r w:rsidRPr="00ED1C0D">
        <w:rPr>
          <w:rFonts w:eastAsia="SimSun"/>
          <w:iCs/>
          <w:szCs w:val="22"/>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14:paraId="00DE17C1" w14:textId="77777777" w:rsidR="00ED1C0D" w:rsidRPr="00ED1C0D" w:rsidRDefault="00ED1C0D" w:rsidP="00ED1C0D">
      <w:pPr>
        <w:pStyle w:val="normalwithoutspacing"/>
        <w:spacing w:before="57" w:after="57"/>
        <w:rPr>
          <w:rFonts w:eastAsia="SimSun"/>
          <w:iCs/>
          <w:szCs w:val="22"/>
        </w:rPr>
      </w:pPr>
    </w:p>
    <w:p w14:paraId="6341F1BF"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3.2.  ΑΥΤΟΚΙΝΗΤΟ ΠΛΑΙΣΙΟ</w:t>
      </w:r>
    </w:p>
    <w:p w14:paraId="73E413C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3.2.α.</w:t>
      </w:r>
      <w:r w:rsidRPr="00ED1C0D">
        <w:rPr>
          <w:rFonts w:eastAsia="SimSun"/>
          <w:iCs/>
          <w:szCs w:val="22"/>
        </w:rPr>
        <w:tab/>
        <w:t>Το πλαίσιο θα είναι απόλυτα καινούργιο,  προσφάτου κατασκευής από τα τελευταία μοντέλα της αντίστοιχης σειράς, ευρέος κυκλοφορούντα στην Ελλάδα και στην αλλοδαπή, μικτού φορτίου 3,5 τν.</w:t>
      </w:r>
    </w:p>
    <w:p w14:paraId="0FD804CD"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προσφερόμενο όχημα θα είναι χρώματος λευκού, θα φέρει περιμετρικά κίτρινη λωρίδα ύψους 100 χιλιοστών και θα παραδοθεί με τις απαραίτητες επιγραφές και άλλα διακριτικά σημεία που θα καθορίσει ο Δήμος.</w:t>
      </w:r>
    </w:p>
    <w:p w14:paraId="6D3CECD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όχημα θα παραδοθεί και με τα πιο κάτω παρελκόμενα :</w:t>
      </w:r>
    </w:p>
    <w:p w14:paraId="5556A8B4"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-Σειρά συνήθων εργαλείων που θα προσδιορίζονται ακριβώς.</w:t>
      </w:r>
    </w:p>
    <w:p w14:paraId="7892EF02"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-Πυροσβεστήρες σύμφωνα με τον ισχύοντα Κ.Ο.Κ</w:t>
      </w:r>
    </w:p>
    <w:p w14:paraId="37E815F7"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-Πλήρες φαρμακείο σύμφωνα με τον Κ.Ο.Κ.</w:t>
      </w:r>
    </w:p>
    <w:p w14:paraId="5D9F707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-Τρίγωνο βλαβών</w:t>
      </w:r>
    </w:p>
    <w:p w14:paraId="48AB1106"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Εγχειρίδιο χρήσης</w:t>
      </w:r>
    </w:p>
    <w:p w14:paraId="65B8F40F"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14:paraId="28993886" w14:textId="66CBE00C" w:rsidR="00ED1C0D" w:rsidRPr="00ED1C0D" w:rsidRDefault="00ED1C0D" w:rsidP="00ED1C0D">
      <w:pPr>
        <w:pStyle w:val="normalwithoutspacing"/>
        <w:spacing w:before="57" w:after="57"/>
        <w:rPr>
          <w:rFonts w:eastAsia="SimSun"/>
          <w:iCs/>
          <w:szCs w:val="22"/>
        </w:rPr>
      </w:pPr>
      <w:r w:rsidRPr="00ED1C0D">
        <w:rPr>
          <w:rFonts w:eastAsia="SimSun"/>
          <w:iCs/>
          <w:szCs w:val="22"/>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14:paraId="191A37C3" w14:textId="77777777" w:rsidR="00ED1C0D" w:rsidRPr="00ED1C0D" w:rsidRDefault="00ED1C0D" w:rsidP="00ED1C0D">
      <w:pPr>
        <w:pStyle w:val="normalwithoutspacing"/>
        <w:spacing w:before="57" w:after="57"/>
        <w:rPr>
          <w:rFonts w:eastAsia="SimSun"/>
          <w:iCs/>
          <w:szCs w:val="22"/>
        </w:rPr>
      </w:pPr>
    </w:p>
    <w:p w14:paraId="1DD9E778" w14:textId="77777777" w:rsidR="00ED1C0D" w:rsidRPr="00E04DC3" w:rsidRDefault="00ED1C0D" w:rsidP="00ED1C0D">
      <w:pPr>
        <w:pStyle w:val="normalwithoutspacing"/>
        <w:spacing w:before="57" w:after="57"/>
        <w:rPr>
          <w:rFonts w:eastAsia="SimSun"/>
          <w:b/>
          <w:iCs/>
          <w:sz w:val="24"/>
          <w:u w:val="single"/>
        </w:rPr>
      </w:pPr>
      <w:r w:rsidRPr="00E04DC3">
        <w:rPr>
          <w:rFonts w:eastAsia="SimSun"/>
          <w:b/>
          <w:iCs/>
          <w:sz w:val="24"/>
          <w:u w:val="single"/>
        </w:rPr>
        <w:t>ΤΕΧΝΙΚΑ ΧΑΡΑΚΤΗΡΙΣΤΙΚΑ</w:t>
      </w:r>
    </w:p>
    <w:p w14:paraId="4B919FD7" w14:textId="77777777" w:rsidR="00ED1C0D" w:rsidRPr="00ED1C0D" w:rsidRDefault="00ED1C0D" w:rsidP="00ED1C0D">
      <w:pPr>
        <w:pStyle w:val="normalwithoutspacing"/>
        <w:spacing w:before="57" w:after="57"/>
        <w:rPr>
          <w:rFonts w:eastAsia="SimSun"/>
          <w:iCs/>
          <w:szCs w:val="22"/>
        </w:rPr>
      </w:pPr>
    </w:p>
    <w:p w14:paraId="2CADCC41"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Α) ΠΛΑΙΣΙΟ</w:t>
      </w:r>
    </w:p>
    <w:p w14:paraId="2281A897"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Θα είναι τελείως καινούργιο, </w:t>
      </w:r>
      <w:proofErr w:type="spellStart"/>
      <w:r w:rsidRPr="00ED1C0D">
        <w:rPr>
          <w:rFonts w:eastAsia="SimSun"/>
          <w:iCs/>
          <w:szCs w:val="22"/>
        </w:rPr>
        <w:t>ημιπροωθημένης</w:t>
      </w:r>
      <w:proofErr w:type="spellEnd"/>
      <w:r w:rsidRPr="00ED1C0D">
        <w:rPr>
          <w:rFonts w:eastAsia="SimSun"/>
          <w:iCs/>
          <w:szCs w:val="22"/>
        </w:rPr>
        <w:t xml:space="preserve"> οδήγησης, τελευταίου τύπου και κατασκευής από τα πλέον εξελιγμένα τεχνολογικά, με μεγάλη κυκλοφορία και άριστη φήμη στην Ελλάδα και στο εξωτερικό, μικτού βάρους 3,5 τν.</w:t>
      </w:r>
    </w:p>
    <w:p w14:paraId="632D6D90" w14:textId="77777777" w:rsidR="00ED1C0D" w:rsidRPr="00ED1C0D" w:rsidRDefault="00ED1C0D" w:rsidP="00ED1C0D">
      <w:pPr>
        <w:pStyle w:val="normalwithoutspacing"/>
        <w:spacing w:before="57" w:after="57"/>
        <w:rPr>
          <w:rFonts w:eastAsia="SimSun"/>
          <w:iCs/>
          <w:szCs w:val="22"/>
        </w:rPr>
      </w:pPr>
    </w:p>
    <w:p w14:paraId="60D11CC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Να δοθεί το ωφέλιμο φορτίο του πλαισίου. Σαν ωφέλιμο φορτίο του πλαισίου θεωρείται το υπόλοιπο που μένει μετά την από το ολικό μικτό επιτρεπόμενο φορτίο (</w:t>
      </w:r>
      <w:proofErr w:type="spellStart"/>
      <w:r w:rsidRPr="00ED1C0D">
        <w:rPr>
          <w:rFonts w:eastAsia="SimSun"/>
          <w:iCs/>
          <w:szCs w:val="22"/>
        </w:rPr>
        <w:t>Perm</w:t>
      </w:r>
      <w:proofErr w:type="spellEnd"/>
      <w:r w:rsidRPr="00ED1C0D">
        <w:rPr>
          <w:rFonts w:eastAsia="SimSun"/>
          <w:iCs/>
          <w:szCs w:val="22"/>
        </w:rPr>
        <w:t xml:space="preserve">. </w:t>
      </w:r>
      <w:proofErr w:type="spellStart"/>
      <w:r w:rsidRPr="00ED1C0D">
        <w:rPr>
          <w:rFonts w:eastAsia="SimSun"/>
          <w:iCs/>
          <w:szCs w:val="22"/>
        </w:rPr>
        <w:t>Gross</w:t>
      </w:r>
      <w:proofErr w:type="spellEnd"/>
      <w:r w:rsidRPr="00ED1C0D">
        <w:rPr>
          <w:rFonts w:eastAsia="SimSun"/>
          <w:iCs/>
          <w:szCs w:val="22"/>
        </w:rPr>
        <w:t xml:space="preserve"> </w:t>
      </w:r>
      <w:proofErr w:type="spellStart"/>
      <w:r w:rsidRPr="00ED1C0D">
        <w:rPr>
          <w:rFonts w:eastAsia="SimSun"/>
          <w:iCs/>
          <w:szCs w:val="22"/>
        </w:rPr>
        <w:t>Weight</w:t>
      </w:r>
      <w:proofErr w:type="spellEnd"/>
      <w:r w:rsidRPr="00ED1C0D">
        <w:rPr>
          <w:rFonts w:eastAsia="SimSun"/>
          <w:iCs/>
          <w:szCs w:val="22"/>
        </w:rPr>
        <w:t xml:space="preserve">) αφαίρεση του ιδίου νεκρού </w:t>
      </w:r>
      <w:r w:rsidRPr="00ED1C0D">
        <w:rPr>
          <w:rFonts w:eastAsia="SimSun"/>
          <w:iCs/>
          <w:szCs w:val="22"/>
        </w:rPr>
        <w:lastRenderedPageBreak/>
        <w:t>βάρους, στο οποίο περιλαμβάνεται η καμπίνα οδήγησης, το σύνολο του προσωπικού (οδηγός και συνοδηγός), το βάρος μισού ρεζερβουάρ καυσίμου, ο εφεδρικός τροχός, τα εργαλεία συντήρησης και όλη γενικά η υπερκατασκευή του οχήματος.</w:t>
      </w:r>
    </w:p>
    <w:p w14:paraId="514AEF77"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Το πλαίσιο θα πρέπει να είναι ενισχυμένης κατασκευής από δύο διαμήκεις </w:t>
      </w:r>
      <w:proofErr w:type="spellStart"/>
      <w:r w:rsidRPr="00ED1C0D">
        <w:rPr>
          <w:rFonts w:eastAsia="SimSun"/>
          <w:iCs/>
          <w:szCs w:val="22"/>
        </w:rPr>
        <w:t>μορφοδοκούς</w:t>
      </w:r>
      <w:proofErr w:type="spellEnd"/>
      <w:r w:rsidRPr="00ED1C0D">
        <w:rPr>
          <w:rFonts w:eastAsia="SimSun"/>
          <w:iCs/>
          <w:szCs w:val="22"/>
        </w:rPr>
        <w:t xml:space="preserve"> ανοικτής διατομής τύπου «[» και εγκάρσιες διαδοκίδες κατάλληλα </w:t>
      </w:r>
      <w:proofErr w:type="spellStart"/>
      <w:r w:rsidRPr="00ED1C0D">
        <w:rPr>
          <w:rFonts w:eastAsia="SimSun"/>
          <w:iCs/>
          <w:szCs w:val="22"/>
        </w:rPr>
        <w:t>ηλωμένες</w:t>
      </w:r>
      <w:proofErr w:type="spellEnd"/>
      <w:r w:rsidRPr="00ED1C0D">
        <w:rPr>
          <w:rFonts w:eastAsia="SimSun"/>
          <w:iCs/>
          <w:szCs w:val="22"/>
        </w:rPr>
        <w:t xml:space="preserve"> και συνδεδεμένες (πλαίσιο τύπου σκάλας όπως τα βαριά φορτηγά) , με μονούς τους πίσω τροχούς κύλισης και σύστημα ανάρτησης με </w:t>
      </w:r>
      <w:proofErr w:type="spellStart"/>
      <w:r w:rsidRPr="00ED1C0D">
        <w:rPr>
          <w:rFonts w:eastAsia="SimSun"/>
          <w:iCs/>
          <w:szCs w:val="22"/>
        </w:rPr>
        <w:t>ημι</w:t>
      </w:r>
      <w:proofErr w:type="spellEnd"/>
      <w:r w:rsidRPr="00ED1C0D">
        <w:rPr>
          <w:rFonts w:eastAsia="SimSun"/>
          <w:iCs/>
          <w:szCs w:val="22"/>
        </w:rPr>
        <w:t xml:space="preserve"> – ελλειπτικά φύλλα σούστας στον οπίσθιο άξονα.</w:t>
      </w:r>
    </w:p>
    <w:p w14:paraId="42D17FE6"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ύψος του πλαισίου (άνω μέρος των  διαμηκών δοκών) πρέπει να είναι το ελάχιστο δυνατό και επιπλέον κατά το δυνατόν σταθερό κατά την φόρτωση του οχήματος.</w:t>
      </w:r>
    </w:p>
    <w:p w14:paraId="7A2461F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μεταξόνιο είναι επιθυμητό να είναι μικρότερο από 3500mm για μεγαλύτερη ευελιξία του οχήματος μέσα στους στενούς δρόμους της πόλης.</w:t>
      </w:r>
    </w:p>
    <w:p w14:paraId="60CEF82D"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14:paraId="7F13C01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Εργοστάσιο κατασκευής του πλαισίου του αυτοκινήτου, ο τύπος και το έτος κατασκευής αυτού.</w:t>
      </w:r>
    </w:p>
    <w:p w14:paraId="33BC57B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Διαστάσεις αυτοκινήτου:</w:t>
      </w:r>
    </w:p>
    <w:p w14:paraId="5B7D0388"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Μεταξόνιο, μετατρόχιο.</w:t>
      </w:r>
    </w:p>
    <w:p w14:paraId="65FD5743"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Μέγιστο πλάτος, μέγιστο μήκος, μέγιστο ύψος (χωρίς φορτίο).</w:t>
      </w:r>
    </w:p>
    <w:p w14:paraId="4309A3E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Ελάχιστο ελεύθερο ύψος από οριζόντιο έδαφος.</w:t>
      </w:r>
    </w:p>
    <w:p w14:paraId="63E15A03"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Υλικά κατασκευής σκελετού.</w:t>
      </w:r>
    </w:p>
    <w:p w14:paraId="57470C6A"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Βάρη πλαισίου και αμαξώματος.</w:t>
      </w:r>
    </w:p>
    <w:p w14:paraId="5BB42ADA"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Ανώτατο επιτρεπόμενο, για το πλαίσιο, μικτό βάρος (GROSS WEIGHT).</w:t>
      </w:r>
    </w:p>
    <w:p w14:paraId="29DCE010"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Ίδιο (νεκρό) βάρος του πλαισίου με το θαλαμίσκο του οδηγού.</w:t>
      </w:r>
    </w:p>
    <w:p w14:paraId="198C8AC0"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Το καθαρό ωφέλιμο φορτίο.</w:t>
      </w:r>
    </w:p>
    <w:p w14:paraId="3FB39F6C"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Η ικανότητα φόρτισης του μπροστινού και του πίσω άξονα.</w:t>
      </w:r>
    </w:p>
    <w:p w14:paraId="68F7CA7F" w14:textId="77777777" w:rsidR="00ED1C0D" w:rsidRPr="00ED1C0D" w:rsidRDefault="00ED1C0D" w:rsidP="00ED1C0D">
      <w:pPr>
        <w:pStyle w:val="normalwithoutspacing"/>
        <w:spacing w:before="57" w:after="57"/>
        <w:rPr>
          <w:rFonts w:eastAsia="SimSun"/>
          <w:iCs/>
          <w:szCs w:val="22"/>
        </w:rPr>
      </w:pPr>
    </w:p>
    <w:p w14:paraId="0520694B"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Κινητήρας</w:t>
      </w:r>
    </w:p>
    <w:p w14:paraId="47741F16"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Ο κινητήρας θα είναι νέας αντιρρυπαντικής τεχνολογίας EURO 6d, </w:t>
      </w:r>
      <w:proofErr w:type="spellStart"/>
      <w:r w:rsidRPr="00ED1C0D">
        <w:rPr>
          <w:rFonts w:eastAsia="SimSun"/>
          <w:iCs/>
          <w:szCs w:val="22"/>
        </w:rPr>
        <w:t>Diesel</w:t>
      </w:r>
      <w:proofErr w:type="spellEnd"/>
      <w:r w:rsidRPr="00ED1C0D">
        <w:rPr>
          <w:rFonts w:eastAsia="SimSun"/>
          <w:iCs/>
          <w:szCs w:val="22"/>
        </w:rPr>
        <w:t>, 4/χρονος, 4/κύλινδρος, υδρόψυκτος από τους πλέον εξελιγμένους τύπους και άριστης φήμης, χωρητικότητας 2.200cc περίπου, μεγάλης κυκλοφορίας. Η μέγιστη ισχύς κατά EEC θα είναι τουλάχιστον 150PS, και η ροπή τουλάχιστον 370Nm.</w:t>
      </w:r>
    </w:p>
    <w:p w14:paraId="4CD97BB6"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ab/>
      </w:r>
    </w:p>
    <w:p w14:paraId="4E6BE476"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Να δοθούν τα χαρακτηριστικά στοιχεία του κινητήρα, ήτοι: .</w:t>
      </w:r>
    </w:p>
    <w:p w14:paraId="1C285990"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Τύπος και κατασκευαστής</w:t>
      </w:r>
    </w:p>
    <w:p w14:paraId="5300A2D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Η πραγματική ισχύς , στον αριθμό στροφών ονομαστικής λειτουργίας.</w:t>
      </w:r>
    </w:p>
    <w:p w14:paraId="5A749894"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Η μεγαλύτερη ροπή στρέψεως στο πεδίο του αριθμού στροφών του.</w:t>
      </w:r>
    </w:p>
    <w:p w14:paraId="460E4A9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Οι καμπύλες μεταβολής της πραγματικής ισχύος και της ροπής στρέψεως σε σχέση με τον αριθμό των στροφών.</w:t>
      </w:r>
    </w:p>
    <w:p w14:paraId="2D517BF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-Ο αριθμός και η διάταξη των κυλίνδρων, ο </w:t>
      </w:r>
      <w:proofErr w:type="spellStart"/>
      <w:r w:rsidRPr="00ED1C0D">
        <w:rPr>
          <w:rFonts w:eastAsia="SimSun"/>
          <w:iCs/>
          <w:szCs w:val="22"/>
        </w:rPr>
        <w:t>κυλινδρισμός</w:t>
      </w:r>
      <w:proofErr w:type="spellEnd"/>
      <w:r w:rsidRPr="00ED1C0D">
        <w:rPr>
          <w:rFonts w:eastAsia="SimSun"/>
          <w:iCs/>
          <w:szCs w:val="22"/>
        </w:rPr>
        <w:t xml:space="preserve"> και η σχέση συμπιέσεως.</w:t>
      </w:r>
    </w:p>
    <w:p w14:paraId="2A0DBA8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Το σύστημα ψύξεως και το σύστημα εκκινήσεως.</w:t>
      </w:r>
    </w:p>
    <w:p w14:paraId="585516E5" w14:textId="37FAC7A8"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  Όρια Εκπομπών (Καυσαέρια – Θόρυβος).</w:t>
      </w:r>
    </w:p>
    <w:p w14:paraId="535C44D4"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Σύστημα μετάδοσης</w:t>
      </w:r>
    </w:p>
    <w:p w14:paraId="15C9599A"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Το κιβώτιο ταχυτήτων θα είναι μηχανικό τουλάχιστον έξι (6) σχέσεων </w:t>
      </w:r>
      <w:proofErr w:type="spellStart"/>
      <w:r w:rsidRPr="00ED1C0D">
        <w:rPr>
          <w:rFonts w:eastAsia="SimSun"/>
          <w:iCs/>
          <w:szCs w:val="22"/>
        </w:rPr>
        <w:t>εµπροσθοπορείας</w:t>
      </w:r>
      <w:proofErr w:type="spellEnd"/>
      <w:r w:rsidRPr="00ED1C0D">
        <w:rPr>
          <w:rFonts w:eastAsia="SimSun"/>
          <w:iCs/>
          <w:szCs w:val="22"/>
        </w:rPr>
        <w:t xml:space="preserve"> και μιας (1) </w:t>
      </w:r>
      <w:proofErr w:type="spellStart"/>
      <w:r w:rsidRPr="00ED1C0D">
        <w:rPr>
          <w:rFonts w:eastAsia="SimSun"/>
          <w:iCs/>
          <w:szCs w:val="22"/>
        </w:rPr>
        <w:t>οπισθοπορείας</w:t>
      </w:r>
      <w:proofErr w:type="spellEnd"/>
      <w:r w:rsidRPr="00ED1C0D">
        <w:rPr>
          <w:rFonts w:eastAsia="SimSun"/>
          <w:iCs/>
          <w:szCs w:val="22"/>
        </w:rPr>
        <w:t>.</w:t>
      </w:r>
    </w:p>
    <w:p w14:paraId="687F2197"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Τα διαφορικό θα πρέπει να είναι ανάλογου κατασκευής ώστε το όχημα να είναι ικανό να κινηθεί με πλήρες φορτίο σε δρόμο με κλίση 15% και συντελεστή τριβής 0,60.</w:t>
      </w:r>
    </w:p>
    <w:p w14:paraId="703883F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Η μετάδοση κίνησης θα γίνεται από τον πίσω άξονα. </w:t>
      </w:r>
    </w:p>
    <w:p w14:paraId="432C2420" w14:textId="77777777" w:rsidR="00ED1C0D" w:rsidRPr="00ED1C0D" w:rsidRDefault="00ED1C0D" w:rsidP="00ED1C0D">
      <w:pPr>
        <w:pStyle w:val="normalwithoutspacing"/>
        <w:spacing w:before="57" w:after="57"/>
        <w:rPr>
          <w:rFonts w:eastAsia="SimSun"/>
          <w:iCs/>
          <w:szCs w:val="22"/>
        </w:rPr>
      </w:pPr>
    </w:p>
    <w:p w14:paraId="0F72C7DB"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lastRenderedPageBreak/>
        <w:t>Σύστημα πέδησης</w:t>
      </w:r>
    </w:p>
    <w:p w14:paraId="4169C312"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Το σύστημα πέδησης θα είναι υδραυλικό, ενώ ταυτόχρονα θα διαθέτει σύστημα </w:t>
      </w:r>
      <w:proofErr w:type="spellStart"/>
      <w:r w:rsidRPr="00ED1C0D">
        <w:rPr>
          <w:rFonts w:eastAsia="SimSun"/>
          <w:iCs/>
          <w:szCs w:val="22"/>
        </w:rPr>
        <w:t>Αντιμπλοκαρίσματος</w:t>
      </w:r>
      <w:proofErr w:type="spellEnd"/>
      <w:r w:rsidRPr="00ED1C0D">
        <w:rPr>
          <w:rFonts w:eastAsia="SimSun"/>
          <w:iCs/>
          <w:szCs w:val="22"/>
        </w:rPr>
        <w:t xml:space="preserve"> Τροχών (Α.Β.S.), αντί-ολίσθησης (A.S.R.), δυναμικής ευστάθειας (E.S.P), συγκράτησης του οχήματος σε ανωφέρεια (</w:t>
      </w:r>
      <w:proofErr w:type="spellStart"/>
      <w:r w:rsidRPr="00ED1C0D">
        <w:rPr>
          <w:rFonts w:eastAsia="SimSun"/>
          <w:iCs/>
          <w:szCs w:val="22"/>
        </w:rPr>
        <w:t>Hill</w:t>
      </w:r>
      <w:proofErr w:type="spellEnd"/>
      <w:r w:rsidRPr="00ED1C0D">
        <w:rPr>
          <w:rFonts w:eastAsia="SimSun"/>
          <w:iCs/>
          <w:szCs w:val="22"/>
        </w:rPr>
        <w:t xml:space="preserve"> </w:t>
      </w:r>
      <w:proofErr w:type="spellStart"/>
      <w:r w:rsidRPr="00ED1C0D">
        <w:rPr>
          <w:rFonts w:eastAsia="SimSun"/>
          <w:iCs/>
          <w:szCs w:val="22"/>
        </w:rPr>
        <w:t>Holder</w:t>
      </w:r>
      <w:proofErr w:type="spellEnd"/>
      <w:r w:rsidRPr="00ED1C0D">
        <w:rPr>
          <w:rFonts w:eastAsia="SimSun"/>
          <w:iCs/>
          <w:szCs w:val="22"/>
        </w:rPr>
        <w:t>) καθώς και σύστημα κατανομής πίεσης πέδησης ανάλογα με το φορτίο, στον πίσω άξονα.</w:t>
      </w:r>
    </w:p>
    <w:p w14:paraId="116D715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φορτηγό πλαίσιο θα διαθέτει δισκόφρενα και στους δυο άξονες. Η ρύθμιση των φρένων θα γίνεται αυτόματα, ανάλογα με τη φθορά των υλικών τριβής. Το χειρόφρενο θα επενεργεί στους πίσω τροχούς του οχήματος. Το υλικό τριβής των φρένων δεν θα περιέχει αμίαντο με αποτέλεσμα να είναι φιλικό προς το περιβάλλον.</w:t>
      </w:r>
    </w:p>
    <w:p w14:paraId="2EA0F9D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χειρόφρενο θα είναι ικανό για ακινητοποίηση του φορτωμένου αυτοκινήτου σε κλίση δρόμου τουλάχιστον 10% με σβηστό κινητήρα και χωρίς ταχύτητα.</w:t>
      </w:r>
    </w:p>
    <w:p w14:paraId="709E20B2" w14:textId="77777777" w:rsidR="00ED1C0D" w:rsidRPr="00ED1C0D" w:rsidRDefault="00ED1C0D" w:rsidP="00ED1C0D">
      <w:pPr>
        <w:pStyle w:val="normalwithoutspacing"/>
        <w:spacing w:before="57" w:after="57"/>
        <w:rPr>
          <w:rFonts w:eastAsia="SimSun"/>
          <w:iCs/>
          <w:szCs w:val="22"/>
        </w:rPr>
      </w:pPr>
    </w:p>
    <w:p w14:paraId="7D593A35" w14:textId="77777777" w:rsidR="00ED1C0D" w:rsidRPr="00ED1C0D" w:rsidRDefault="00ED1C0D" w:rsidP="00ED1C0D">
      <w:pPr>
        <w:pStyle w:val="normalwithoutspacing"/>
        <w:spacing w:before="57" w:after="57"/>
        <w:rPr>
          <w:rFonts w:eastAsia="SimSun"/>
          <w:iCs/>
          <w:szCs w:val="22"/>
        </w:rPr>
      </w:pPr>
    </w:p>
    <w:p w14:paraId="631AF2AC"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Σύστημα διεύθυνσης</w:t>
      </w:r>
    </w:p>
    <w:p w14:paraId="1BDC8E3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Το πηδάλιο θα ευρίσκεται στο αριστερό μέρος και θα είναι απαραίτητα υδραυλικής ή ηλεκτρικής υποβοήθησης. Θα δοθούν όλα τα στοιχεία και οι ακτίνες στροφής του πλήρους οχήματος. Το τιμόνι θα είναι ρυθμιζόμενο. Η ακτίνα στροφής είναι επιθυμητό να είναι η ελάχιστη δυνατή.</w:t>
      </w:r>
    </w:p>
    <w:p w14:paraId="7748DD19" w14:textId="77777777" w:rsidR="00ED1C0D" w:rsidRPr="00ED1C0D" w:rsidRDefault="00ED1C0D" w:rsidP="00ED1C0D">
      <w:pPr>
        <w:pStyle w:val="normalwithoutspacing"/>
        <w:spacing w:before="57" w:after="57"/>
        <w:rPr>
          <w:rFonts w:eastAsia="SimSun"/>
          <w:iCs/>
          <w:szCs w:val="22"/>
        </w:rPr>
      </w:pPr>
    </w:p>
    <w:p w14:paraId="4156F15B"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Άξονες – αναρτήσεις</w:t>
      </w:r>
    </w:p>
    <w:p w14:paraId="3F7611D7"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Ανεξάρτητη ανάρτηση στους εμπρόσθιους τροχούς με αμορτισέρ και </w:t>
      </w:r>
      <w:proofErr w:type="spellStart"/>
      <w:r w:rsidRPr="00ED1C0D">
        <w:rPr>
          <w:rFonts w:eastAsia="SimSun"/>
          <w:iCs/>
          <w:szCs w:val="22"/>
        </w:rPr>
        <w:t>ημιελλειπτικά</w:t>
      </w:r>
      <w:proofErr w:type="spellEnd"/>
      <w:r w:rsidRPr="00ED1C0D">
        <w:rPr>
          <w:rFonts w:eastAsia="SimSun"/>
          <w:iCs/>
          <w:szCs w:val="22"/>
        </w:rPr>
        <w:t xml:space="preserve"> φύλλα σούστας στους οπίσθιους.</w:t>
      </w:r>
    </w:p>
    <w:p w14:paraId="2F97408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Να δοθεί ο τύπος, ο κατασκευαστής και οι ικανότητες αξόνων, αναρτήσεων  και ελαστικών (σύμφωνα με την οδηγία 92/62 EC). Ο κινητήριος πίσω άξονας θα φέρει διπλά  ελαστικά και να καλύπτει ικανοποιητικά τις απαιτήσεις φόρτισης για όλες τις συνθήκες κίνησης. Να αναφερθούν οι μέγιστες φορτίσεις των αξόνων.</w:t>
      </w:r>
    </w:p>
    <w:p w14:paraId="5892F8D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Να δοθεί ο αριθμός, τύπος και οι διαστάσεις των ελαστικών.</w:t>
      </w:r>
    </w:p>
    <w:p w14:paraId="19625297" w14:textId="77777777" w:rsidR="00ED1C0D" w:rsidRPr="00ED1C0D" w:rsidRDefault="00ED1C0D" w:rsidP="00ED1C0D">
      <w:pPr>
        <w:pStyle w:val="normalwithoutspacing"/>
        <w:spacing w:before="57" w:after="57"/>
        <w:rPr>
          <w:rFonts w:eastAsia="SimSun"/>
          <w:iCs/>
          <w:szCs w:val="22"/>
        </w:rPr>
      </w:pPr>
    </w:p>
    <w:p w14:paraId="6C071A95"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 xml:space="preserve">Καμπίνα οδήγησης </w:t>
      </w:r>
    </w:p>
    <w:p w14:paraId="6793BB04" w14:textId="77777777" w:rsidR="00ED1C0D" w:rsidRPr="00ED1C0D" w:rsidRDefault="00ED1C0D" w:rsidP="00ED1C0D">
      <w:pPr>
        <w:pStyle w:val="normalwithoutspacing"/>
        <w:spacing w:before="57" w:after="57"/>
        <w:rPr>
          <w:rFonts w:eastAsia="SimSun"/>
          <w:iCs/>
          <w:szCs w:val="22"/>
        </w:rPr>
      </w:pPr>
      <w:proofErr w:type="spellStart"/>
      <w:r w:rsidRPr="00ED1C0D">
        <w:rPr>
          <w:rFonts w:eastAsia="SimSun"/>
          <w:iCs/>
          <w:szCs w:val="22"/>
        </w:rPr>
        <w:t>Ημιπροωθημένης</w:t>
      </w:r>
      <w:proofErr w:type="spellEnd"/>
      <w:r w:rsidRPr="00ED1C0D">
        <w:rPr>
          <w:rFonts w:eastAsia="SimSun"/>
          <w:iCs/>
          <w:szCs w:val="22"/>
        </w:rPr>
        <w:t xml:space="preserve"> κατηγορίας οδήγησης, με το πηδάλιο στο αριστερό μέρος του αυτοκινήτου και να έχει οπωσδήποτε ηλεκτρική ή υδραυλική υποβοήθηση. Θα φέρει δύο πόρτες μπροστά (για την είσοδο - έξοδο οδηγού και συνοδηγού) με ηλεκτρικά χειριζόμενα παράθυρα. Η καμπίνα θα εδράζεται στο πλαίσιο μέσω </w:t>
      </w:r>
      <w:proofErr w:type="spellStart"/>
      <w:r w:rsidRPr="00ED1C0D">
        <w:rPr>
          <w:rFonts w:eastAsia="SimSun"/>
          <w:iCs/>
          <w:szCs w:val="22"/>
        </w:rPr>
        <w:t>αντικραδασμικών</w:t>
      </w:r>
      <w:proofErr w:type="spellEnd"/>
      <w:r w:rsidRPr="00ED1C0D">
        <w:rPr>
          <w:rFonts w:eastAsia="SimSun"/>
          <w:iCs/>
          <w:szCs w:val="22"/>
        </w:rPr>
        <w:t xml:space="preserve"> βάσεων και θα φέρει κάθισμα οδηγού και συνοδηγού.</w:t>
      </w:r>
    </w:p>
    <w:p w14:paraId="592A911F" w14:textId="2ACA3E64"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Το όχημα εντός της καμπίνας θα φέρει  τα συνήθη όργανα ελέγχου με τα αντίστοιχα φωτεινά σήματα, </w:t>
      </w:r>
      <w:proofErr w:type="spellStart"/>
      <w:r w:rsidRPr="00ED1C0D">
        <w:rPr>
          <w:rFonts w:eastAsia="SimSun"/>
          <w:iCs/>
          <w:szCs w:val="22"/>
        </w:rPr>
        <w:t>ανεμοθώρακα</w:t>
      </w:r>
      <w:proofErr w:type="spellEnd"/>
      <w:r w:rsidRPr="00ED1C0D">
        <w:rPr>
          <w:rFonts w:eastAsia="SimSun"/>
          <w:iCs/>
          <w:szCs w:val="22"/>
        </w:rPr>
        <w:t xml:space="preserve"> από πολύφυλλο κρύσταλλο ασφαλείας τύπου </w:t>
      </w:r>
      <w:proofErr w:type="spellStart"/>
      <w:r w:rsidRPr="00ED1C0D">
        <w:rPr>
          <w:rFonts w:eastAsia="SimSun"/>
          <w:iCs/>
          <w:szCs w:val="22"/>
        </w:rPr>
        <w:t>triplex</w:t>
      </w:r>
      <w:proofErr w:type="spellEnd"/>
      <w:r w:rsidRPr="00ED1C0D">
        <w:rPr>
          <w:rFonts w:eastAsia="SimSun"/>
          <w:iCs/>
          <w:szCs w:val="22"/>
        </w:rPr>
        <w:t xml:space="preserve">,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proofErr w:type="spellStart"/>
      <w:r w:rsidRPr="00ED1C0D">
        <w:rPr>
          <w:rFonts w:eastAsia="SimSun"/>
          <w:iCs/>
          <w:szCs w:val="22"/>
        </w:rPr>
        <w:t>air</w:t>
      </w:r>
      <w:proofErr w:type="spellEnd"/>
      <w:r w:rsidRPr="00ED1C0D">
        <w:rPr>
          <w:rFonts w:eastAsia="SimSun"/>
          <w:iCs/>
          <w:szCs w:val="22"/>
        </w:rPr>
        <w:t xml:space="preserve"> </w:t>
      </w:r>
      <w:proofErr w:type="spellStart"/>
      <w:r w:rsidRPr="00ED1C0D">
        <w:rPr>
          <w:rFonts w:eastAsia="SimSun"/>
          <w:iCs/>
          <w:szCs w:val="22"/>
        </w:rPr>
        <w:t>condition</w:t>
      </w:r>
      <w:proofErr w:type="spellEnd"/>
      <w:r w:rsidRPr="00ED1C0D">
        <w:rPr>
          <w:rFonts w:eastAsia="SimSun"/>
          <w:iCs/>
          <w:szCs w:val="22"/>
        </w:rPr>
        <w:t>, πλαφονιέρα φωτισμού, ρευματοδότη για την τοποθέτηση μπαλαντέζας και γενικά κάθε εξάρτηση ενός θαλαμίσκου συγχρόνου αυτοκινήτου.</w:t>
      </w:r>
    </w:p>
    <w:p w14:paraId="29066460" w14:textId="2BC84B4F" w:rsidR="00ED1C0D" w:rsidRPr="00ED1C0D" w:rsidRDefault="00ED1C0D" w:rsidP="00ED1C0D">
      <w:pPr>
        <w:pStyle w:val="normalwithoutspacing"/>
        <w:spacing w:before="57" w:after="57"/>
        <w:rPr>
          <w:rFonts w:eastAsia="SimSun"/>
          <w:iCs/>
          <w:szCs w:val="22"/>
        </w:rPr>
      </w:pPr>
      <w:r w:rsidRPr="00ED1C0D">
        <w:rPr>
          <w:rFonts w:eastAsia="SimSun"/>
          <w:b/>
          <w:iCs/>
          <w:szCs w:val="22"/>
        </w:rPr>
        <w:t>Β) ΥΠΕΡΚΑΤΑΣΚΕΥΗ – ΑΝΑΤΡΕΠΟΜΕΝΗ ΚΙΒΩΤΑΜΑΞΑ</w:t>
      </w:r>
    </w:p>
    <w:p w14:paraId="754586D2"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Πλήρως μεταλλική ανοικτή κιβωτάμαξα τριών σημείων, ανατρεπόμενη προς τα πίσω η/και προς τις δύο πλαϊνές πλευρές, εργοστασιακά τοποθετημένη.  Οι εξωτερικές διαστάσεις της θα είναι περίπου 3.700 x 2.100 x 400 χιλιοστά (mm) (Μ x Π x Y).</w:t>
      </w:r>
    </w:p>
    <w:p w14:paraId="07521F3A" w14:textId="77777777" w:rsidR="00ED1C0D" w:rsidRPr="00ED1C0D" w:rsidRDefault="00ED1C0D" w:rsidP="00ED1C0D">
      <w:pPr>
        <w:pStyle w:val="normalwithoutspacing"/>
        <w:spacing w:before="57" w:after="57"/>
        <w:rPr>
          <w:rFonts w:eastAsia="SimSun"/>
          <w:iCs/>
          <w:szCs w:val="22"/>
        </w:rPr>
      </w:pPr>
    </w:p>
    <w:p w14:paraId="21196C27" w14:textId="77FED2DE"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Η κιβωτάμαξα θα εδράζεται σε ενισχυμένο </w:t>
      </w:r>
      <w:proofErr w:type="spellStart"/>
      <w:r w:rsidRPr="00ED1C0D">
        <w:rPr>
          <w:rFonts w:eastAsia="SimSun"/>
          <w:iCs/>
          <w:szCs w:val="22"/>
        </w:rPr>
        <w:t>ψευδοπλαίσιο</w:t>
      </w:r>
      <w:proofErr w:type="spellEnd"/>
      <w:r w:rsidRPr="00ED1C0D">
        <w:rPr>
          <w:rFonts w:eastAsia="SimSun"/>
          <w:iCs/>
          <w:szCs w:val="22"/>
        </w:rPr>
        <w:t xml:space="preserve"> κατασκευασμένο από κατάλληλης διατομής εν </w:t>
      </w:r>
      <w:proofErr w:type="spellStart"/>
      <w:r w:rsidRPr="00ED1C0D">
        <w:rPr>
          <w:rFonts w:eastAsia="SimSun"/>
          <w:iCs/>
          <w:szCs w:val="22"/>
        </w:rPr>
        <w:t>θερμώ</w:t>
      </w:r>
      <w:proofErr w:type="spellEnd"/>
      <w:r w:rsidRPr="00ED1C0D">
        <w:rPr>
          <w:rFonts w:eastAsia="SimSun"/>
          <w:iCs/>
          <w:szCs w:val="22"/>
        </w:rPr>
        <w:t xml:space="preserve"> γαλβανισμένο χάλυβα και επίστρωση πολυεστερικής πούδρας για τη μέγιστη αντοχή στη διάβρωση.</w:t>
      </w:r>
    </w:p>
    <w:p w14:paraId="0A4F32EC" w14:textId="05EC7F45" w:rsidR="00ED1C0D" w:rsidRPr="00ED1C0D" w:rsidRDefault="00ED1C0D" w:rsidP="00ED1C0D">
      <w:pPr>
        <w:pStyle w:val="normalwithoutspacing"/>
        <w:spacing w:before="57" w:after="57"/>
        <w:rPr>
          <w:rFonts w:eastAsia="SimSun"/>
          <w:iCs/>
          <w:szCs w:val="22"/>
        </w:rPr>
      </w:pPr>
      <w:r w:rsidRPr="00ED1C0D">
        <w:rPr>
          <w:rFonts w:eastAsia="SimSun"/>
          <w:iCs/>
          <w:szCs w:val="22"/>
        </w:rPr>
        <w:lastRenderedPageBreak/>
        <w:t>Το δάπεδο της κιβωτάμαξας θα αποτελείται από δύο ενιαία, ίδιων διαστάσεων, διαμήκη χαλύβδινα φύλλα με ένωση στο μέσο. Περιμετρικά το δάπεδο θα φέρει δέστρες φορτίων, γαλβανισμένες, χωνευτού τύπου.</w:t>
      </w:r>
    </w:p>
    <w:p w14:paraId="1B614840"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Η πλάτη (καθρέπτης) της κιβωτάμαξας θα είναι κατασκευασμένη από χαλύβδινες κολώνες με τις κατάλληλες εγκάρσιες ενισχύσεις και θα φέρει σημεία πρόσδεσης φορτίου. Το δε ύψος θα φτάνει το ύψος της καμπίνας για την προστασία της.</w:t>
      </w:r>
    </w:p>
    <w:p w14:paraId="7E1D81C8" w14:textId="77777777" w:rsidR="00ED1C0D" w:rsidRPr="00ED1C0D" w:rsidRDefault="00ED1C0D" w:rsidP="00ED1C0D">
      <w:pPr>
        <w:pStyle w:val="normalwithoutspacing"/>
        <w:spacing w:before="57" w:after="57"/>
        <w:rPr>
          <w:rFonts w:eastAsia="SimSun"/>
          <w:iCs/>
          <w:szCs w:val="22"/>
        </w:rPr>
      </w:pPr>
    </w:p>
    <w:p w14:paraId="4D08E13F"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Η κιβωτάμαξα στα πλαϊνά της (αριστερά &amp; δεξιά) θα φέρει δύο σταθερούς ορθοστάτες, (σταθερές χαλύβδινες κολώνες μπρος και πίσω).  Ανάμεσα από τους ορθοστάτες, θα φέρει μονοκόμματες θύρες από χαλύβδινο προφίλ ύψους 400mm, οι οποίες θα ασφαλίζουν επί των σταθερών κολώνων με χωνευτά γαλβανισμένα εν </w:t>
      </w:r>
      <w:proofErr w:type="spellStart"/>
      <w:r w:rsidRPr="00ED1C0D">
        <w:rPr>
          <w:rFonts w:eastAsia="SimSun"/>
          <w:iCs/>
          <w:szCs w:val="22"/>
        </w:rPr>
        <w:t>θερμώ</w:t>
      </w:r>
      <w:proofErr w:type="spellEnd"/>
      <w:r w:rsidRPr="00ED1C0D">
        <w:rPr>
          <w:rFonts w:eastAsia="SimSun"/>
          <w:iCs/>
          <w:szCs w:val="22"/>
        </w:rPr>
        <w:t xml:space="preserve"> κλείστρα.  Θα στηρίζονται δε σε γαλβανισμένους μεντεσέδες και θα ανοίγουν από πάνω προς τα κάτω.</w:t>
      </w:r>
    </w:p>
    <w:p w14:paraId="68B61702" w14:textId="77777777" w:rsidR="00ED1C0D" w:rsidRPr="00ED1C0D" w:rsidRDefault="00ED1C0D" w:rsidP="00ED1C0D">
      <w:pPr>
        <w:pStyle w:val="normalwithoutspacing"/>
        <w:spacing w:before="57" w:after="57"/>
        <w:rPr>
          <w:rFonts w:eastAsia="SimSun"/>
          <w:iCs/>
          <w:szCs w:val="22"/>
        </w:rPr>
      </w:pPr>
    </w:p>
    <w:p w14:paraId="2C9DA1DC"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Η οπίσθια θύρα θα είναι αντίστοιχης κατασκευής με τις πλαϊνές θύρες με δυνατότητα να ανοίγει από κάτω προς τα πάνω.</w:t>
      </w:r>
    </w:p>
    <w:p w14:paraId="3657519C" w14:textId="77777777" w:rsidR="00ED1C0D" w:rsidRPr="00ED1C0D" w:rsidRDefault="00ED1C0D" w:rsidP="00ED1C0D">
      <w:pPr>
        <w:pStyle w:val="normalwithoutspacing"/>
        <w:spacing w:before="57" w:after="57"/>
        <w:rPr>
          <w:rFonts w:eastAsia="SimSun"/>
          <w:iCs/>
          <w:szCs w:val="22"/>
        </w:rPr>
      </w:pPr>
    </w:p>
    <w:p w14:paraId="4EE29B9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Το σύστημα ανατροπής θα αποτελείται από </w:t>
      </w:r>
      <w:proofErr w:type="spellStart"/>
      <w:r w:rsidRPr="00ED1C0D">
        <w:rPr>
          <w:rFonts w:eastAsia="SimSun"/>
          <w:iCs/>
          <w:szCs w:val="22"/>
        </w:rPr>
        <w:t>ηλεκτρο</w:t>
      </w:r>
      <w:proofErr w:type="spellEnd"/>
      <w:r w:rsidRPr="00ED1C0D">
        <w:rPr>
          <w:rFonts w:eastAsia="SimSun"/>
          <w:iCs/>
          <w:szCs w:val="22"/>
        </w:rPr>
        <w:t xml:space="preserve"> – υδραυλική αντλία και μονό έμβολο μεγάλης διαμέτρου Φ125 ώστε να μπορεί να λειτουργεί με χαμηλή πίεση &lt;100bar και να μην επιβαρύνει την αντλία ανατροπής και την μπαταρία του οχήματος.</w:t>
      </w:r>
    </w:p>
    <w:p w14:paraId="667812D3" w14:textId="77777777" w:rsidR="00ED1C0D" w:rsidRPr="00ED1C0D" w:rsidRDefault="00ED1C0D" w:rsidP="00ED1C0D">
      <w:pPr>
        <w:pStyle w:val="normalwithoutspacing"/>
        <w:spacing w:before="57" w:after="57"/>
        <w:rPr>
          <w:rFonts w:eastAsia="SimSun"/>
          <w:iCs/>
          <w:szCs w:val="22"/>
        </w:rPr>
      </w:pPr>
    </w:p>
    <w:p w14:paraId="2777051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Ο χειρισμός θα γίνεται από κατάλληλο χειριστήριο, τοποθετημένο εντός της καμπίνας οδήγησης, το οποίο θα συνδέεται στο ηλεκτρικό κύκλωμα με καλώδιο τύπου σπιράλ. </w:t>
      </w:r>
    </w:p>
    <w:p w14:paraId="1C0C08EC" w14:textId="77777777" w:rsidR="00ED1C0D" w:rsidRPr="00ED1C0D" w:rsidRDefault="00ED1C0D" w:rsidP="00ED1C0D">
      <w:pPr>
        <w:pStyle w:val="normalwithoutspacing"/>
        <w:spacing w:before="57" w:after="57"/>
        <w:rPr>
          <w:rFonts w:eastAsia="SimSun"/>
          <w:iCs/>
          <w:szCs w:val="22"/>
        </w:rPr>
      </w:pPr>
    </w:p>
    <w:p w14:paraId="7EBBAF28" w14:textId="5CDB2DD7" w:rsidR="00ED1C0D" w:rsidRPr="00ED1C0D" w:rsidRDefault="00ED1C0D" w:rsidP="00ED1C0D">
      <w:pPr>
        <w:pStyle w:val="normalwithoutspacing"/>
        <w:spacing w:before="57" w:after="57"/>
        <w:rPr>
          <w:rFonts w:eastAsia="SimSun"/>
          <w:iCs/>
          <w:szCs w:val="22"/>
        </w:rPr>
      </w:pPr>
      <w:r w:rsidRPr="00ED1C0D">
        <w:rPr>
          <w:rFonts w:eastAsia="SimSun"/>
          <w:iCs/>
          <w:szCs w:val="22"/>
        </w:rPr>
        <w:t>Θα υπάρχουν κατάλληλοι μοχλοί έτσι ώστε να επιτυγχάνεται η ανατροπή της κιβωτάμαξας τόσο προς τα πίσω όσο και προς τις δύο πλαϊνές πλευρές.</w:t>
      </w:r>
    </w:p>
    <w:p w14:paraId="013B7B7C"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ΠΑΡΕΛΚΟΜΕΝΑ :</w:t>
      </w:r>
    </w:p>
    <w:p w14:paraId="61FCF187" w14:textId="77777777" w:rsidR="00ED1C0D" w:rsidRPr="00ED1C0D" w:rsidRDefault="00ED1C0D" w:rsidP="00ED1C0D">
      <w:pPr>
        <w:pStyle w:val="normalwithoutspacing"/>
        <w:spacing w:before="57" w:after="57"/>
        <w:rPr>
          <w:rFonts w:eastAsia="SimSun"/>
          <w:iCs/>
          <w:szCs w:val="22"/>
        </w:rPr>
      </w:pPr>
      <w:r w:rsidRPr="00ED1C0D">
        <w:rPr>
          <w:rFonts w:ascii="Arial" w:eastAsia="SimSun" w:hAnsi="Arial" w:cs="Arial"/>
          <w:iCs/>
          <w:szCs w:val="22"/>
        </w:rPr>
        <w:t>♦</w:t>
      </w:r>
      <w:r w:rsidRPr="00ED1C0D">
        <w:rPr>
          <w:rFonts w:eastAsia="SimSun"/>
          <w:iCs/>
          <w:szCs w:val="22"/>
        </w:rPr>
        <w:t xml:space="preserve">  Φτερά και πιστοποιημένους λασπωτήρες </w:t>
      </w:r>
      <w:proofErr w:type="spellStart"/>
      <w:r w:rsidRPr="00ED1C0D">
        <w:rPr>
          <w:rFonts w:eastAsia="SimSun"/>
          <w:iCs/>
          <w:szCs w:val="22"/>
        </w:rPr>
        <w:t>anti</w:t>
      </w:r>
      <w:proofErr w:type="spellEnd"/>
      <w:r w:rsidRPr="00ED1C0D">
        <w:rPr>
          <w:rFonts w:eastAsia="SimSun"/>
          <w:iCs/>
          <w:szCs w:val="22"/>
        </w:rPr>
        <w:t>-</w:t>
      </w:r>
      <w:proofErr w:type="spellStart"/>
      <w:r w:rsidRPr="00ED1C0D">
        <w:rPr>
          <w:rFonts w:eastAsia="SimSun"/>
          <w:iCs/>
          <w:szCs w:val="22"/>
        </w:rPr>
        <w:t>spray</w:t>
      </w:r>
      <w:proofErr w:type="spellEnd"/>
      <w:r w:rsidRPr="00ED1C0D">
        <w:rPr>
          <w:rFonts w:eastAsia="SimSun"/>
          <w:iCs/>
          <w:szCs w:val="22"/>
        </w:rPr>
        <w:t xml:space="preserve"> στους πίσω τροχούς, </w:t>
      </w:r>
    </w:p>
    <w:p w14:paraId="3FCAABB3" w14:textId="77777777" w:rsidR="00ED1C0D" w:rsidRPr="00ED1C0D" w:rsidRDefault="00ED1C0D" w:rsidP="00ED1C0D">
      <w:pPr>
        <w:pStyle w:val="normalwithoutspacing"/>
        <w:spacing w:before="57" w:after="57"/>
        <w:rPr>
          <w:rFonts w:eastAsia="SimSun"/>
          <w:iCs/>
          <w:szCs w:val="22"/>
        </w:rPr>
      </w:pPr>
      <w:r w:rsidRPr="00ED1C0D">
        <w:rPr>
          <w:rFonts w:ascii="Arial" w:eastAsia="SimSun" w:hAnsi="Arial" w:cs="Arial"/>
          <w:iCs/>
          <w:szCs w:val="22"/>
        </w:rPr>
        <w:t>♦</w:t>
      </w:r>
      <w:r w:rsidRPr="00ED1C0D">
        <w:rPr>
          <w:rFonts w:eastAsia="SimSun"/>
          <w:iCs/>
          <w:szCs w:val="22"/>
        </w:rPr>
        <w:t xml:space="preserve">  Κιβώτιο εργαλείων με κλείθρο ασφαλείας,</w:t>
      </w:r>
    </w:p>
    <w:p w14:paraId="5D29C74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 </w:t>
      </w:r>
      <w:r w:rsidRPr="00ED1C0D">
        <w:rPr>
          <w:rFonts w:ascii="Arial" w:eastAsia="SimSun" w:hAnsi="Arial" w:cs="Arial"/>
          <w:iCs/>
          <w:szCs w:val="22"/>
        </w:rPr>
        <w:t>♦</w:t>
      </w:r>
      <w:r w:rsidRPr="00ED1C0D">
        <w:rPr>
          <w:rFonts w:eastAsia="SimSun"/>
          <w:iCs/>
          <w:szCs w:val="22"/>
        </w:rPr>
        <w:t xml:space="preserve">  Διάταξη ασφάλισης έναντι πτώσης της κιβωτάμαξας κατά τη διενέργεια εργασιών στο   πλαίσιο.</w:t>
      </w:r>
    </w:p>
    <w:p w14:paraId="26CF7D36" w14:textId="77777777" w:rsidR="00ED1C0D" w:rsidRPr="00ED1C0D" w:rsidRDefault="00ED1C0D" w:rsidP="00ED1C0D">
      <w:pPr>
        <w:pStyle w:val="normalwithoutspacing"/>
        <w:spacing w:before="57" w:after="57"/>
        <w:rPr>
          <w:rFonts w:eastAsia="SimSun"/>
          <w:iCs/>
          <w:szCs w:val="22"/>
        </w:rPr>
      </w:pPr>
    </w:p>
    <w:p w14:paraId="010348DA"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 xml:space="preserve">    Τεχνική αξία (Λειτουργικότητα, αποδοτικότητα, αισθητικότητα του προσφερόμενου εξοπλισμού).</w:t>
      </w:r>
    </w:p>
    <w:p w14:paraId="760E8A90" w14:textId="77777777" w:rsidR="00ED1C0D" w:rsidRPr="00ED1C0D" w:rsidRDefault="00ED1C0D" w:rsidP="00ED1C0D">
      <w:pPr>
        <w:pStyle w:val="normalwithoutspacing"/>
        <w:spacing w:before="57" w:after="57"/>
        <w:rPr>
          <w:rFonts w:eastAsia="SimSun"/>
          <w:iCs/>
          <w:szCs w:val="22"/>
        </w:rPr>
      </w:pPr>
    </w:p>
    <w:p w14:paraId="26E6BF6F"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Στην τεχνική προσφορά να περιλαμβάνονται πλήρη τεχνικά στοιχεία και περιγραφές του πλαισίου και υπερκατασκευής του προσφερόμενου οχήματος, σχεδιαγράμματα, σχέδια, κλπ  από τα οποία να προκύπτουν σαφώς τα τεχνικά στοιχεία και οι δυνατότητες του προσφερόμενου οχήματος.</w:t>
      </w:r>
    </w:p>
    <w:p w14:paraId="7D4AD3C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14:paraId="3AAB3396" w14:textId="77777777" w:rsidR="00ED1C0D" w:rsidRPr="00ED1C0D" w:rsidRDefault="00ED1C0D" w:rsidP="00ED1C0D">
      <w:pPr>
        <w:pStyle w:val="normalwithoutspacing"/>
        <w:spacing w:before="57" w:after="57"/>
        <w:rPr>
          <w:rFonts w:eastAsia="SimSun"/>
          <w:iCs/>
          <w:szCs w:val="22"/>
        </w:rPr>
      </w:pPr>
    </w:p>
    <w:p w14:paraId="54E6E79E" w14:textId="77777777" w:rsidR="00ED1C0D" w:rsidRPr="00E04DC3" w:rsidRDefault="00ED1C0D" w:rsidP="00ED1C0D">
      <w:pPr>
        <w:pStyle w:val="normalwithoutspacing"/>
        <w:spacing w:before="57" w:after="57"/>
        <w:rPr>
          <w:rFonts w:eastAsia="SimSun"/>
          <w:b/>
          <w:iCs/>
          <w:szCs w:val="22"/>
        </w:rPr>
      </w:pPr>
      <w:r w:rsidRPr="00E04DC3">
        <w:rPr>
          <w:rFonts w:eastAsia="SimSun"/>
          <w:b/>
          <w:iCs/>
          <w:szCs w:val="22"/>
        </w:rPr>
        <w:t>Καταλληλότητα του προσφερόμενου οχήματος  για την εξυπηρέτηση του σκοπού για τον οποίο προορίζεται.</w:t>
      </w:r>
    </w:p>
    <w:p w14:paraId="39508858" w14:textId="77777777" w:rsidR="00ED1C0D" w:rsidRPr="00E04DC3" w:rsidRDefault="00ED1C0D" w:rsidP="00ED1C0D">
      <w:pPr>
        <w:pStyle w:val="normalwithoutspacing"/>
        <w:spacing w:before="57" w:after="57"/>
        <w:rPr>
          <w:rFonts w:eastAsia="SimSun"/>
          <w:b/>
          <w:iCs/>
          <w:szCs w:val="22"/>
        </w:rPr>
      </w:pPr>
      <w:r w:rsidRPr="00E04DC3">
        <w:rPr>
          <w:rFonts w:eastAsia="SimSun"/>
          <w:b/>
          <w:iCs/>
          <w:szCs w:val="22"/>
        </w:rPr>
        <w:t>Με την τεχνική προσφορά να κατατεθούν:</w:t>
      </w:r>
    </w:p>
    <w:p w14:paraId="618B59A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Υπεύθυνη Δήλωση προσκόμισης κατά την παράδοση Έγκρισης Τύπου για ολοκληρωμένο όχημα βάσει των κείμενων διατάξεων.</w:t>
      </w:r>
    </w:p>
    <w:p w14:paraId="39FC4D84"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Αντίγραφα πιστοποιητικών διασφάλισης ποιότητας της σειράς ISO 9001:2015, ISO14001:2015 και OHSAS 18001:2017 ή ισοδύναμο του προμηθευτή  και του κατασκευαστή του πλαισίου.</w:t>
      </w:r>
    </w:p>
    <w:p w14:paraId="1F368A9C"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Ο προμηθευτής με την τεχνική προσφορά οφείλει να καταθέσει:</w:t>
      </w:r>
    </w:p>
    <w:p w14:paraId="0A704B5B"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lastRenderedPageBreak/>
        <w:t xml:space="preserve">• Υπεύθυνη δήλωση εγγύησης </w:t>
      </w:r>
      <w:proofErr w:type="spellStart"/>
      <w:r w:rsidRPr="00ED1C0D">
        <w:rPr>
          <w:rFonts w:eastAsia="SimSun"/>
          <w:iCs/>
          <w:szCs w:val="22"/>
        </w:rPr>
        <w:t>αντισκωριακής</w:t>
      </w:r>
      <w:proofErr w:type="spellEnd"/>
      <w:r w:rsidRPr="00ED1C0D">
        <w:rPr>
          <w:rFonts w:eastAsia="SimSun"/>
          <w:iCs/>
          <w:szCs w:val="22"/>
        </w:rPr>
        <w:t xml:space="preserve"> προστασίας πλαισίου και υπερκατασκευής τουλάχιστον 2 έτη .</w:t>
      </w:r>
    </w:p>
    <w:p w14:paraId="11079CE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14:paraId="6C1A2DC4"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 Υπεύθυνη δήλωση για τον τρόπο αντιμετώπισης των αναγκών συντήρησης / </w:t>
      </w:r>
      <w:proofErr w:type="spellStart"/>
      <w:r w:rsidRPr="00ED1C0D">
        <w:rPr>
          <w:rFonts w:eastAsia="SimSun"/>
          <w:iCs/>
          <w:szCs w:val="22"/>
        </w:rPr>
        <w:t>service</w:t>
      </w:r>
      <w:proofErr w:type="spellEnd"/>
      <w:r w:rsidRPr="00ED1C0D">
        <w:rPr>
          <w:rFonts w:eastAsia="SimSun"/>
          <w:iCs/>
          <w:szCs w:val="22"/>
        </w:rPr>
        <w:t>.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w:t>
      </w:r>
    </w:p>
    <w:p w14:paraId="435AA3BA"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Δήλωση του εργοστασίου κατασκευής του πλαισίου, ότι αποδέχονται την εκτέλεση της προμήθειας και ότι θα καλύψουν την προσφερόμενη εγγύηση ακόμη και απ’ ευθείας εάν αυτό τους ζητηθεί από τον Δήμο.</w:t>
      </w:r>
    </w:p>
    <w:p w14:paraId="0747E33A" w14:textId="77777777" w:rsidR="00ED1C0D" w:rsidRPr="00ED1C0D" w:rsidRDefault="00ED1C0D" w:rsidP="00ED1C0D">
      <w:pPr>
        <w:pStyle w:val="normalwithoutspacing"/>
        <w:spacing w:before="57" w:after="57"/>
        <w:rPr>
          <w:rFonts w:eastAsia="SimSun"/>
          <w:iCs/>
          <w:szCs w:val="22"/>
        </w:rPr>
      </w:pPr>
    </w:p>
    <w:p w14:paraId="6BE4D493"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 xml:space="preserve">    ΕΓΓΥΗΣΗ ΚΑΛΗΣ ΛΕΙΤΟΥΡΓΙΑΣ</w:t>
      </w:r>
    </w:p>
    <w:p w14:paraId="44BC078F"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Ο προμηθευτής με την τεχνική προσφορά οφείλει να καταθέσει:</w:t>
      </w:r>
    </w:p>
    <w:p w14:paraId="7C7AD209"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Υπεύθυνη δήλωση εγγύησης καλής λειτουργίας τουλάχιστον 1 έτος για το πλήρες όχημα.</w:t>
      </w:r>
    </w:p>
    <w:p w14:paraId="0ED8A25A"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14:paraId="27D90C92" w14:textId="77777777" w:rsidR="00ED1C0D" w:rsidRPr="00ED1C0D" w:rsidRDefault="00ED1C0D" w:rsidP="00ED1C0D">
      <w:pPr>
        <w:pStyle w:val="normalwithoutspacing"/>
        <w:spacing w:before="57" w:after="57"/>
        <w:rPr>
          <w:rFonts w:eastAsia="SimSun"/>
          <w:iCs/>
          <w:szCs w:val="22"/>
        </w:rPr>
      </w:pPr>
    </w:p>
    <w:p w14:paraId="4CC40784"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  Εκπαίδευση χειριστών, ανταλλακτικά, χρόνος παράδοσης ανταλλακτικών – SERVICE</w:t>
      </w:r>
    </w:p>
    <w:p w14:paraId="176141ED"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Μετά την παράδοση του οχήματος και σε χρονικό διάστημα που θα καθοριστεί από κοινού, ο προμηθευτής αναλαμβάνει με δικά του έξοδα την εκπαίδευση του προσωπικού, οδηγών και τεχνικών, στην έδρα της Υπηρεσίας. Να υποβληθεί χρονοδιάγραμμα προγράμματος εκπαίδευσης.</w:t>
      </w:r>
    </w:p>
    <w:p w14:paraId="092AD4F4" w14:textId="77777777" w:rsidR="00ED1C0D" w:rsidRPr="00ED1C0D" w:rsidRDefault="00ED1C0D" w:rsidP="00ED1C0D">
      <w:pPr>
        <w:pStyle w:val="normalwithoutspacing"/>
        <w:spacing w:before="57" w:after="57"/>
        <w:rPr>
          <w:rFonts w:eastAsia="SimSun"/>
          <w:iCs/>
          <w:szCs w:val="22"/>
        </w:rPr>
      </w:pPr>
    </w:p>
    <w:p w14:paraId="4B383C6D"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Ελάχιστη εγγύηση καλής λειτουργίας 12 μήνες χωρίς περιορισμό χιλιομέτρων. Θα ληφθεί ιδιαίτερα υπόψη ο μεγαλύτερος χρόνος εγγύησης για τη γραμμή παραγωγής και μετάδοσης ισχύος (κινητήρα, κιβώτιο ταχυτήτων, διαφορικό) και το αμάξωμα.</w:t>
      </w:r>
    </w:p>
    <w:p w14:paraId="47730CBF" w14:textId="77777777" w:rsidR="00ED1C0D" w:rsidRPr="00ED1C0D" w:rsidRDefault="00ED1C0D" w:rsidP="00ED1C0D">
      <w:pPr>
        <w:pStyle w:val="normalwithoutspacing"/>
        <w:spacing w:before="57" w:after="57"/>
        <w:rPr>
          <w:rFonts w:eastAsia="SimSun"/>
          <w:iCs/>
          <w:szCs w:val="22"/>
        </w:rPr>
      </w:pPr>
    </w:p>
    <w:p w14:paraId="23BCCB7D"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Σε αυτή 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χειρισμό του προσωπικού ή από αντικανονική συντήρηση.  </w:t>
      </w:r>
    </w:p>
    <w:p w14:paraId="1CD7348F" w14:textId="77777777" w:rsidR="00ED1C0D" w:rsidRPr="00ED1C0D" w:rsidRDefault="00ED1C0D" w:rsidP="00ED1C0D">
      <w:pPr>
        <w:pStyle w:val="normalwithoutspacing"/>
        <w:spacing w:before="57" w:after="57"/>
        <w:rPr>
          <w:rFonts w:eastAsia="SimSun"/>
          <w:iCs/>
          <w:szCs w:val="22"/>
        </w:rPr>
      </w:pPr>
    </w:p>
    <w:p w14:paraId="070803A1"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Στην προσφορά θα αναφερθούν τα δωρεάν </w:t>
      </w:r>
      <w:proofErr w:type="spellStart"/>
      <w:r w:rsidRPr="00ED1C0D">
        <w:rPr>
          <w:rFonts w:eastAsia="SimSun"/>
          <w:iCs/>
          <w:szCs w:val="22"/>
        </w:rPr>
        <w:t>service</w:t>
      </w:r>
      <w:proofErr w:type="spellEnd"/>
      <w:r w:rsidRPr="00ED1C0D">
        <w:rPr>
          <w:rFonts w:eastAsia="SimSun"/>
          <w:iCs/>
          <w:szCs w:val="22"/>
        </w:rPr>
        <w:t>, που θα γίνουν στην περίοδο της εγγύησης, καθώς και οι όροι της εγγύησης.</w:t>
      </w:r>
    </w:p>
    <w:p w14:paraId="597FFB5F" w14:textId="77777777" w:rsidR="00ED1C0D" w:rsidRPr="00ED1C0D" w:rsidRDefault="00ED1C0D" w:rsidP="00ED1C0D">
      <w:pPr>
        <w:pStyle w:val="normalwithoutspacing"/>
        <w:spacing w:before="57" w:after="57"/>
        <w:rPr>
          <w:rFonts w:eastAsia="SimSun"/>
          <w:iCs/>
          <w:szCs w:val="22"/>
        </w:rPr>
      </w:pPr>
    </w:p>
    <w:p w14:paraId="1DDB5B15"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Να δηλωθεί υποχρεωτικά στην προσφορά ότι ο προμηθευτής εγγυάται την εξασφάλιση της τεχνικής υποστήριξης και των απαιτουμένων ανταλλακτικών για μία δεκαετία και η έκπτωση που θα τυγχάνει ο Φορέας επί του εκάστοτε ισχύοντος τιμοκαταλόγου. </w:t>
      </w:r>
    </w:p>
    <w:p w14:paraId="0341F9DE" w14:textId="77777777" w:rsidR="00ED1C0D" w:rsidRPr="00ED1C0D" w:rsidRDefault="00ED1C0D" w:rsidP="00ED1C0D">
      <w:pPr>
        <w:pStyle w:val="normalwithoutspacing"/>
        <w:spacing w:before="57" w:after="57"/>
        <w:rPr>
          <w:rFonts w:eastAsia="SimSun"/>
          <w:iCs/>
          <w:szCs w:val="22"/>
        </w:rPr>
      </w:pPr>
    </w:p>
    <w:p w14:paraId="03B33331" w14:textId="79599592" w:rsidR="00ED1C0D" w:rsidRDefault="00ED1C0D" w:rsidP="00ED1C0D">
      <w:pPr>
        <w:pStyle w:val="normalwithoutspacing"/>
        <w:spacing w:before="57" w:after="57"/>
        <w:rPr>
          <w:rFonts w:eastAsia="SimSun"/>
          <w:iCs/>
          <w:szCs w:val="22"/>
        </w:rPr>
      </w:pPr>
      <w:r w:rsidRPr="00ED1C0D">
        <w:rPr>
          <w:rFonts w:eastAsia="SimSun"/>
          <w:iCs/>
          <w:szCs w:val="22"/>
        </w:rPr>
        <w:t>Επίσης λόγω της συχνής χρήσης του οχήματος, ο κάθε διαγωνιζόμενος πρέπει να διαθέτει εξουσιοδοτημένο συνεργείο πλησίον της Υπηρεσίας. Να δίδεται κατάσταση εξουσιοδοτημένων συνεργείων του προμηθευτή στην Ελλάδα.</w:t>
      </w:r>
    </w:p>
    <w:p w14:paraId="3DFDEC64" w14:textId="77777777" w:rsidR="00ED1C0D" w:rsidRPr="00ED1C0D" w:rsidRDefault="00ED1C0D" w:rsidP="00ED1C0D">
      <w:pPr>
        <w:pStyle w:val="normalwithoutspacing"/>
        <w:spacing w:before="57" w:after="57"/>
        <w:rPr>
          <w:rFonts w:eastAsia="SimSun"/>
          <w:iCs/>
          <w:szCs w:val="22"/>
        </w:rPr>
      </w:pPr>
    </w:p>
    <w:p w14:paraId="2A4A9743" w14:textId="7CCBF81F" w:rsidR="00ED1C0D" w:rsidRPr="00ED1C0D" w:rsidRDefault="00ED1C0D" w:rsidP="00ED1C0D">
      <w:pPr>
        <w:pStyle w:val="normalwithoutspacing"/>
        <w:spacing w:before="57" w:after="57"/>
        <w:rPr>
          <w:rFonts w:eastAsia="SimSun"/>
          <w:b/>
          <w:iCs/>
          <w:szCs w:val="22"/>
        </w:rPr>
      </w:pPr>
      <w:r w:rsidRPr="00ED1C0D">
        <w:rPr>
          <w:rFonts w:eastAsia="SimSun"/>
          <w:b/>
          <w:iCs/>
          <w:szCs w:val="22"/>
        </w:rPr>
        <w:t>ΠΑΡΑΔΟΣΗ</w:t>
      </w:r>
    </w:p>
    <w:p w14:paraId="0A99B5BE" w14:textId="77777777" w:rsidR="00ED1C0D" w:rsidRPr="00ED1C0D" w:rsidRDefault="00ED1C0D" w:rsidP="00ED1C0D">
      <w:pPr>
        <w:pStyle w:val="normalwithoutspacing"/>
        <w:spacing w:before="57" w:after="57"/>
        <w:rPr>
          <w:rFonts w:eastAsia="SimSun"/>
          <w:b/>
          <w:iCs/>
          <w:szCs w:val="22"/>
        </w:rPr>
      </w:pPr>
      <w:r w:rsidRPr="00ED1C0D">
        <w:rPr>
          <w:rFonts w:eastAsia="SimSun"/>
          <w:b/>
          <w:iCs/>
          <w:szCs w:val="22"/>
        </w:rPr>
        <w:t xml:space="preserve">  Το όχημα θα πρέπει να παραδοθεί εντός  δώδεκα (12) μηνών από την υπογραφή της σχετικής συμβάσεως.</w:t>
      </w:r>
    </w:p>
    <w:p w14:paraId="45DDE9AE" w14:textId="77777777" w:rsidR="00ED1C0D" w:rsidRPr="00ED1C0D" w:rsidRDefault="00ED1C0D" w:rsidP="00ED1C0D">
      <w:pPr>
        <w:pStyle w:val="normalwithoutspacing"/>
        <w:spacing w:before="57" w:after="57"/>
        <w:rPr>
          <w:rFonts w:eastAsia="SimSun"/>
          <w:iCs/>
          <w:szCs w:val="22"/>
        </w:rPr>
      </w:pPr>
      <w:r w:rsidRPr="00ED1C0D">
        <w:rPr>
          <w:rFonts w:eastAsia="SimSun"/>
          <w:iCs/>
          <w:szCs w:val="22"/>
        </w:rPr>
        <w:t xml:space="preserve">   Κατά την κρίση των διαγωνιζόμενων οποιοδήποτε άλλο στοιχείο που µ</w:t>
      </w:r>
      <w:proofErr w:type="spellStart"/>
      <w:r w:rsidRPr="00ED1C0D">
        <w:rPr>
          <w:rFonts w:eastAsia="SimSun"/>
          <w:iCs/>
          <w:szCs w:val="22"/>
        </w:rPr>
        <w:t>πορεί</w:t>
      </w:r>
      <w:proofErr w:type="spellEnd"/>
      <w:r w:rsidRPr="00ED1C0D">
        <w:rPr>
          <w:rFonts w:eastAsia="SimSun"/>
          <w:iCs/>
          <w:szCs w:val="22"/>
        </w:rPr>
        <w:t xml:space="preserve"> να οδηγήσει στην πληρέστερη δυνατή παρουσίαση του </w:t>
      </w:r>
      <w:proofErr w:type="spellStart"/>
      <w:r w:rsidRPr="00ED1C0D">
        <w:rPr>
          <w:rFonts w:eastAsia="SimSun"/>
          <w:iCs/>
          <w:szCs w:val="22"/>
        </w:rPr>
        <w:t>προσφερόµενου</w:t>
      </w:r>
      <w:proofErr w:type="spellEnd"/>
      <w:r w:rsidRPr="00ED1C0D">
        <w:rPr>
          <w:rFonts w:eastAsia="SimSun"/>
          <w:iCs/>
          <w:szCs w:val="22"/>
        </w:rPr>
        <w:t xml:space="preserve"> οχήματος.</w:t>
      </w:r>
    </w:p>
    <w:p w14:paraId="6FCC7E47" w14:textId="77777777" w:rsidR="003929DA" w:rsidRDefault="003929DA">
      <w:pPr>
        <w:pStyle w:val="normalwithoutspacing"/>
        <w:spacing w:before="57" w:after="57"/>
        <w:rPr>
          <w:rFonts w:eastAsia="SimSun"/>
          <w:i/>
          <w:iCs/>
          <w:color w:val="5B9BD5"/>
          <w:szCs w:val="22"/>
        </w:rPr>
      </w:pPr>
    </w:p>
    <w:p w14:paraId="13156893" w14:textId="77777777" w:rsidR="003929DA" w:rsidRDefault="003929DA">
      <w:pPr>
        <w:pStyle w:val="normalwithoutspacing"/>
        <w:spacing w:before="57" w:after="57"/>
        <w:rPr>
          <w:rFonts w:eastAsia="SimSun"/>
          <w:szCs w:val="22"/>
        </w:rPr>
      </w:pPr>
      <w:r>
        <w:rPr>
          <w:rFonts w:ascii="Arial" w:hAnsi="Arial" w:cs="Arial"/>
          <w:b/>
          <w:color w:val="002060"/>
          <w:szCs w:val="22"/>
        </w:rPr>
        <w:lastRenderedPageBreak/>
        <w:t>ΜΕΡΟΣ Β- ΟΙΚΟΝΟΜΙΚΟ ΑΝΤΙΚΕΙΜΕΝΟ ΤΗΣ ΣΥΜΒΑΣΗΣ</w:t>
      </w:r>
    </w:p>
    <w:p w14:paraId="1E39B393" w14:textId="2392C83E" w:rsidR="00E17BC4" w:rsidRPr="00E17BC4" w:rsidRDefault="00E17BC4" w:rsidP="00E17BC4">
      <w:pPr>
        <w:rPr>
          <w:lang w:val="el-GR"/>
        </w:rPr>
      </w:pPr>
      <w:r w:rsidRPr="00E17BC4">
        <w:rPr>
          <w:lang w:val="el-GR"/>
        </w:rPr>
        <w:tab/>
        <w:t>Η Τεχνική Υπηρεσία του Δήμου Ιθάκης χρειάζεται να προβεί σε προμήθεια  φορτηγού ανοικτού ανατρεπόμενου οχήματος που είναι απαραίτητη για την ομαλή λειτουργία της υπηρεσίας Καθαριότητας. Η χρήση του θα βοηθήσει στην αποκομιδή ογκωδών υλικών, σε έργα πρασίνου (κοπής κλαδιών) και σε άλλες βοηθητικές εργασίες (π.χ. συντήρηση κτηρίων και μεταφορά εργαλείων των συνεργείων του Δήμου μας).</w:t>
      </w:r>
    </w:p>
    <w:p w14:paraId="26AAE399" w14:textId="51650579" w:rsidR="00E17BC4" w:rsidRPr="00E17BC4" w:rsidRDefault="00E17BC4" w:rsidP="00E17BC4">
      <w:pPr>
        <w:rPr>
          <w:lang w:val="el-GR"/>
        </w:rPr>
      </w:pPr>
      <w:r w:rsidRPr="00E17BC4">
        <w:rPr>
          <w:lang w:val="el-GR"/>
        </w:rPr>
        <w:t xml:space="preserve">   Η  συγκεκριμένη προμήθεια έχει ενταχθεί σε κωδικό του προϋπολογισμού μας για τ</w:t>
      </w:r>
      <w:r>
        <w:rPr>
          <w:lang w:val="el-GR"/>
        </w:rPr>
        <w:t>α</w:t>
      </w:r>
      <w:r w:rsidRPr="00E17BC4">
        <w:rPr>
          <w:lang w:val="el-GR"/>
        </w:rPr>
        <w:t xml:space="preserve"> έτ</w:t>
      </w:r>
      <w:r>
        <w:rPr>
          <w:lang w:val="el-GR"/>
        </w:rPr>
        <w:t>η</w:t>
      </w:r>
      <w:r w:rsidRPr="00E17BC4">
        <w:rPr>
          <w:lang w:val="el-GR"/>
        </w:rPr>
        <w:t xml:space="preserve"> 2023</w:t>
      </w:r>
      <w:r>
        <w:rPr>
          <w:lang w:val="el-GR"/>
        </w:rPr>
        <w:t>-2024</w:t>
      </w:r>
      <w:r w:rsidRPr="00E17BC4">
        <w:rPr>
          <w:lang w:val="el-GR"/>
        </w:rPr>
        <w:t xml:space="preserve"> με χρηματοδότηση που προέρχεται από το πρόγραμμα ΥΠΕΣ ΦΙΛΟΔΗΜΟΣ ΙΙ   «Προμήθεια οχήματος για ανάγκες Υπηρεσίας Καθαριότητας ΔΗΜΟΥ ΙΘΑΚΗΣ (ΦΙΛΟΔΗΜΟΣ ΙΙ) »,ποσού  60.000 € (Ευρώ) στον  ΚΑE 02.64.7132.03 με την αρ. 54 η- 23/08/2022απόφασης Δ/Σ  του Δήμου Ιθάκης ΑΔΑ:6ΙΩΑΕΟ-0ΑΗ και την εγκριτική της Αποκεντρωμένης Διοίκησης </w:t>
      </w:r>
      <w:proofErr w:type="spellStart"/>
      <w:r w:rsidRPr="00E17BC4">
        <w:rPr>
          <w:lang w:val="el-GR"/>
        </w:rPr>
        <w:t>Πελ</w:t>
      </w:r>
      <w:proofErr w:type="spellEnd"/>
      <w:r w:rsidRPr="00E17BC4">
        <w:rPr>
          <w:lang w:val="el-GR"/>
        </w:rPr>
        <w:t>/νήσου Δυτικής Ελλάδας &amp; Ιονίου ΑΔΑ:ΨΥΞ0ΟΡ1Φ-ΣΓΧ  και σύμφωνα με την επιχορήγηση Δήμων ΠΡΟΓΡΑΜΜΑ &lt;&lt;ΦΙΛΟΔΗΜΟΣ ΙΙ&gt;&gt; ΑΔΑ:6Ψ0Ι46ΜΤΛ6-ΨΒΨ με Αρ. Πρτ. 50300 28/07/2022.</w:t>
      </w:r>
    </w:p>
    <w:p w14:paraId="04EA2C38" w14:textId="77777777" w:rsidR="00E17BC4" w:rsidRPr="00E17BC4" w:rsidRDefault="00E17BC4" w:rsidP="00E17BC4">
      <w:pPr>
        <w:rPr>
          <w:lang w:val="el-GR"/>
        </w:rPr>
      </w:pPr>
      <w:r w:rsidRPr="00E17BC4">
        <w:rPr>
          <w:lang w:val="el-GR"/>
        </w:rPr>
        <w:t xml:space="preserve">   Τα προς προμήθεια είδη κατατάσσονται στους ακόλουθους κωδικούς του Κοινού Λεξιλογίου δημοσίων συμβάσεων (CPV) : 34134200-7 «Φορτηγά με ανατρεπόμενη καρότσα»</w:t>
      </w:r>
    </w:p>
    <w:p w14:paraId="3FE290CD" w14:textId="26AF0656" w:rsidR="003929DA" w:rsidRDefault="00E17BC4" w:rsidP="00E17BC4">
      <w:pPr>
        <w:rPr>
          <w:lang w:val="el-GR"/>
        </w:rPr>
      </w:pPr>
      <w:r w:rsidRPr="00E17BC4">
        <w:rPr>
          <w:lang w:val="el-GR"/>
        </w:rPr>
        <w:t xml:space="preserve">   Η δημοπράτηση της προμήθειας θα πραγματοποιηθεί με τη διαδικασία του ανοιχτού ηλεκτρονικού διαγωνισμού, ο οποίος θα διεξαχθεί μέσω της ηλεκτρονικής πύλης του ΕΣΗ∆ΗΣ (</w:t>
      </w:r>
      <w:proofErr w:type="spellStart"/>
      <w:r w:rsidRPr="00E17BC4">
        <w:rPr>
          <w:lang w:val="el-GR"/>
        </w:rPr>
        <w:t>www.promitheus.gr</w:t>
      </w:r>
      <w:proofErr w:type="spellEnd"/>
      <w:r w:rsidRPr="00E17BC4">
        <w:rPr>
          <w:lang w:val="el-GR"/>
        </w:rPr>
        <w:t xml:space="preserve">),  µε κριτήριο ανάθεσης βάση </w:t>
      </w:r>
      <w:proofErr w:type="spellStart"/>
      <w:r w:rsidRPr="00E17BC4">
        <w:rPr>
          <w:lang w:val="el-GR"/>
        </w:rPr>
        <w:t>τιµής</w:t>
      </w:r>
      <w:proofErr w:type="spellEnd"/>
      <w:r w:rsidRPr="00E17BC4">
        <w:rPr>
          <w:lang w:val="el-GR"/>
        </w:rPr>
        <w:t xml:space="preserve">, και </w:t>
      </w:r>
      <w:proofErr w:type="spellStart"/>
      <w:r w:rsidRPr="00E17BC4">
        <w:rPr>
          <w:lang w:val="el-GR"/>
        </w:rPr>
        <w:t>σύµφωνα</w:t>
      </w:r>
      <w:proofErr w:type="spellEnd"/>
      <w:r w:rsidRPr="00E17BC4">
        <w:rPr>
          <w:lang w:val="el-GR"/>
        </w:rPr>
        <w:t xml:space="preserve"> µε τις διατάξεις του Ν. 4412/2016.</w:t>
      </w:r>
    </w:p>
    <w:p w14:paraId="2B8FD7E3" w14:textId="11E3387F" w:rsidR="00E17BC4" w:rsidRDefault="00E17BC4" w:rsidP="00E17BC4">
      <w:pPr>
        <w:rPr>
          <w:lang w:val="el-GR"/>
        </w:rPr>
      </w:pPr>
      <w:r>
        <w:rPr>
          <w:lang w:val="el-GR"/>
        </w:rPr>
        <w:t>Για τη δαπάνη έχει γίνει κατανομή για τα έτη 2023-2024 με τ</w:t>
      </w:r>
      <w:r w:rsidRPr="00E17BC4">
        <w:rPr>
          <w:lang w:val="el-GR"/>
        </w:rPr>
        <w:t>η με αρ.πρωτ.4641/2023 απόφαση πολυετούς δαπάνης του Δημάρχου (ΑΔΑ: 9Ο7ΣΩΕΟ-Θ9Υ).</w:t>
      </w:r>
    </w:p>
    <w:p w14:paraId="3A3F94BD" w14:textId="77777777" w:rsidR="00744B70" w:rsidRPr="00744B70" w:rsidRDefault="00744B70" w:rsidP="00744B70">
      <w:pPr>
        <w:numPr>
          <w:ilvl w:val="0"/>
          <w:numId w:val="25"/>
        </w:numPr>
        <w:suppressAutoHyphens w:val="0"/>
        <w:spacing w:after="0"/>
        <w:contextualSpacing/>
        <w:jc w:val="left"/>
        <w:rPr>
          <w:rFonts w:ascii="Arial" w:hAnsi="Arial" w:cs="Arial"/>
          <w:b/>
          <w:sz w:val="24"/>
          <w:szCs w:val="22"/>
          <w:u w:val="single"/>
          <w:lang w:val="el-GR" w:eastAsia="el-GR"/>
        </w:rPr>
      </w:pPr>
      <w:r w:rsidRPr="00744B70">
        <w:rPr>
          <w:rFonts w:ascii="Arial" w:hAnsi="Arial" w:cs="Arial"/>
          <w:sz w:val="24"/>
          <w:szCs w:val="22"/>
          <w:lang w:val="el-GR" w:eastAsia="el-GR"/>
        </w:rPr>
        <w:t xml:space="preserve">  </w:t>
      </w:r>
      <w:r w:rsidRPr="00744B70">
        <w:rPr>
          <w:rFonts w:ascii="Arial" w:hAnsi="Arial" w:cs="Arial"/>
          <w:b/>
          <w:sz w:val="24"/>
          <w:szCs w:val="22"/>
          <w:u w:val="single"/>
          <w:lang w:val="el-GR" w:eastAsia="el-GR"/>
        </w:rPr>
        <w:t>ΕΝΔΕΙΚΤΙΚΟΣ  ΠΡΟΫΠΟΛΟΓΙΣΜΟΣ</w:t>
      </w:r>
    </w:p>
    <w:p w14:paraId="3439DE38" w14:textId="77777777" w:rsidR="00744B70" w:rsidRPr="00744B70" w:rsidRDefault="00744B70" w:rsidP="00744B70">
      <w:pPr>
        <w:suppressAutoHyphens w:val="0"/>
        <w:spacing w:after="0"/>
        <w:jc w:val="left"/>
        <w:rPr>
          <w:rFonts w:ascii="Arial" w:hAnsi="Arial" w:cs="Arial"/>
          <w:sz w:val="24"/>
          <w:szCs w:val="22"/>
          <w:lang w:val="el-GR" w:eastAsia="el-GR"/>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4253"/>
        <w:gridCol w:w="992"/>
        <w:gridCol w:w="1418"/>
        <w:gridCol w:w="1984"/>
      </w:tblGrid>
      <w:tr w:rsidR="00744B70" w:rsidRPr="00744B70" w14:paraId="7B9C5F0E" w14:textId="77777777" w:rsidTr="0075659A">
        <w:tc>
          <w:tcPr>
            <w:tcW w:w="675" w:type="dxa"/>
            <w:tcBorders>
              <w:top w:val="single" w:sz="12" w:space="0" w:color="auto"/>
              <w:bottom w:val="single" w:sz="12" w:space="0" w:color="auto"/>
            </w:tcBorders>
            <w:shd w:val="pct20" w:color="000000" w:fill="FFFFFF"/>
          </w:tcPr>
          <w:p w14:paraId="2B0ECFBB" w14:textId="77777777" w:rsidR="00744B70" w:rsidRPr="00744B70" w:rsidRDefault="00744B70" w:rsidP="00744B70">
            <w:pPr>
              <w:suppressAutoHyphens w:val="0"/>
              <w:spacing w:after="0"/>
              <w:jc w:val="left"/>
              <w:rPr>
                <w:rFonts w:ascii="Arial" w:hAnsi="Arial" w:cs="Arial"/>
                <w:b/>
                <w:sz w:val="24"/>
                <w:lang w:val="el-GR" w:eastAsia="el-GR"/>
              </w:rPr>
            </w:pPr>
            <w:r w:rsidRPr="00744B70">
              <w:rPr>
                <w:rFonts w:ascii="Arial" w:hAnsi="Arial" w:cs="Arial"/>
                <w:b/>
                <w:sz w:val="24"/>
                <w:szCs w:val="22"/>
                <w:lang w:val="el-GR" w:eastAsia="el-GR"/>
              </w:rPr>
              <w:t>α/α</w:t>
            </w:r>
          </w:p>
        </w:tc>
        <w:tc>
          <w:tcPr>
            <w:tcW w:w="4253" w:type="dxa"/>
            <w:tcBorders>
              <w:top w:val="single" w:sz="12" w:space="0" w:color="auto"/>
              <w:bottom w:val="single" w:sz="12" w:space="0" w:color="auto"/>
            </w:tcBorders>
            <w:shd w:val="pct20" w:color="000000" w:fill="FFFFFF"/>
          </w:tcPr>
          <w:p w14:paraId="7243F40D" w14:textId="77777777" w:rsidR="00744B70" w:rsidRPr="00744B70" w:rsidRDefault="00744B70" w:rsidP="00744B70">
            <w:pPr>
              <w:suppressAutoHyphens w:val="0"/>
              <w:spacing w:after="0"/>
              <w:jc w:val="left"/>
              <w:rPr>
                <w:rFonts w:ascii="Arial" w:hAnsi="Arial" w:cs="Arial"/>
                <w:b/>
                <w:sz w:val="24"/>
                <w:lang w:val="el-GR" w:eastAsia="el-GR"/>
              </w:rPr>
            </w:pPr>
            <w:r w:rsidRPr="00744B70">
              <w:rPr>
                <w:rFonts w:ascii="Arial" w:hAnsi="Arial" w:cs="Arial"/>
                <w:b/>
                <w:sz w:val="24"/>
                <w:szCs w:val="22"/>
                <w:lang w:val="el-GR" w:eastAsia="el-GR"/>
              </w:rPr>
              <w:t>ΠΕΡΙΓΡΑΦΗ</w:t>
            </w:r>
          </w:p>
        </w:tc>
        <w:tc>
          <w:tcPr>
            <w:tcW w:w="992" w:type="dxa"/>
            <w:tcBorders>
              <w:top w:val="single" w:sz="12" w:space="0" w:color="auto"/>
              <w:bottom w:val="single" w:sz="12" w:space="0" w:color="auto"/>
            </w:tcBorders>
            <w:shd w:val="pct20" w:color="000000" w:fill="FFFFFF"/>
          </w:tcPr>
          <w:p w14:paraId="33F67CA0" w14:textId="77777777" w:rsidR="00744B70" w:rsidRPr="00744B70" w:rsidRDefault="00744B70" w:rsidP="00744B70">
            <w:pPr>
              <w:suppressAutoHyphens w:val="0"/>
              <w:spacing w:after="0"/>
              <w:jc w:val="left"/>
              <w:rPr>
                <w:rFonts w:ascii="Arial" w:hAnsi="Arial" w:cs="Arial"/>
                <w:b/>
                <w:sz w:val="24"/>
                <w:lang w:val="el-GR" w:eastAsia="el-GR"/>
              </w:rPr>
            </w:pPr>
            <w:r w:rsidRPr="00744B70">
              <w:rPr>
                <w:rFonts w:ascii="Arial" w:hAnsi="Arial" w:cs="Arial"/>
                <w:b/>
                <w:sz w:val="24"/>
                <w:szCs w:val="22"/>
                <w:lang w:val="el-GR" w:eastAsia="el-GR"/>
              </w:rPr>
              <w:t>ΤΕΜ .</w:t>
            </w:r>
          </w:p>
        </w:tc>
        <w:tc>
          <w:tcPr>
            <w:tcW w:w="1418" w:type="dxa"/>
            <w:tcBorders>
              <w:top w:val="single" w:sz="12" w:space="0" w:color="auto"/>
              <w:bottom w:val="single" w:sz="12" w:space="0" w:color="auto"/>
            </w:tcBorders>
            <w:shd w:val="pct20" w:color="000000" w:fill="FFFFFF"/>
          </w:tcPr>
          <w:p w14:paraId="1217E12A" w14:textId="77777777" w:rsidR="00744B70" w:rsidRPr="00744B70" w:rsidRDefault="00744B70" w:rsidP="00744B70">
            <w:pPr>
              <w:suppressAutoHyphens w:val="0"/>
              <w:spacing w:after="0"/>
              <w:jc w:val="left"/>
              <w:rPr>
                <w:rFonts w:ascii="Arial" w:hAnsi="Arial" w:cs="Arial"/>
                <w:b/>
                <w:sz w:val="24"/>
                <w:lang w:val="el-GR" w:eastAsia="el-GR"/>
              </w:rPr>
            </w:pPr>
            <w:r w:rsidRPr="00744B70">
              <w:rPr>
                <w:rFonts w:ascii="Arial" w:hAnsi="Arial" w:cs="Arial"/>
                <w:b/>
                <w:sz w:val="24"/>
                <w:szCs w:val="22"/>
                <w:lang w:val="el-GR" w:eastAsia="el-GR"/>
              </w:rPr>
              <w:t>Ενδεικτική Τιμή Μονάδας</w:t>
            </w:r>
          </w:p>
        </w:tc>
        <w:tc>
          <w:tcPr>
            <w:tcW w:w="1984" w:type="dxa"/>
            <w:tcBorders>
              <w:top w:val="single" w:sz="12" w:space="0" w:color="auto"/>
              <w:bottom w:val="single" w:sz="12" w:space="0" w:color="auto"/>
            </w:tcBorders>
            <w:shd w:val="pct20" w:color="000000" w:fill="FFFFFF"/>
          </w:tcPr>
          <w:p w14:paraId="3925D655" w14:textId="77777777" w:rsidR="00744B70" w:rsidRPr="00744B70" w:rsidRDefault="00744B70" w:rsidP="00744B70">
            <w:pPr>
              <w:suppressAutoHyphens w:val="0"/>
              <w:spacing w:after="0"/>
              <w:jc w:val="left"/>
              <w:rPr>
                <w:rFonts w:ascii="Arial" w:hAnsi="Arial" w:cs="Arial"/>
                <w:b/>
                <w:sz w:val="24"/>
                <w:lang w:val="el-GR" w:eastAsia="el-GR"/>
              </w:rPr>
            </w:pPr>
            <w:r w:rsidRPr="00744B70">
              <w:rPr>
                <w:rFonts w:ascii="Arial" w:hAnsi="Arial" w:cs="Arial"/>
                <w:b/>
                <w:sz w:val="24"/>
                <w:szCs w:val="22"/>
                <w:lang w:val="el-GR" w:eastAsia="el-GR"/>
              </w:rPr>
              <w:t>ΣΥΝΟΛΟ</w:t>
            </w:r>
          </w:p>
        </w:tc>
      </w:tr>
      <w:tr w:rsidR="00744B70" w:rsidRPr="00744B70" w14:paraId="70E60C1D" w14:textId="77777777" w:rsidTr="0075659A">
        <w:tc>
          <w:tcPr>
            <w:tcW w:w="675" w:type="dxa"/>
            <w:tcBorders>
              <w:top w:val="nil"/>
            </w:tcBorders>
            <w:vAlign w:val="center"/>
          </w:tcPr>
          <w:p w14:paraId="38F796AB"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1.</w:t>
            </w:r>
          </w:p>
        </w:tc>
        <w:tc>
          <w:tcPr>
            <w:tcW w:w="4253" w:type="dxa"/>
            <w:tcBorders>
              <w:top w:val="nil"/>
            </w:tcBorders>
            <w:vAlign w:val="center"/>
          </w:tcPr>
          <w:p w14:paraId="0D5BFE42" w14:textId="77777777" w:rsidR="00744B70" w:rsidRPr="00744B70" w:rsidRDefault="00744B70" w:rsidP="00744B70">
            <w:pPr>
              <w:suppressAutoHyphens w:val="0"/>
              <w:spacing w:after="0"/>
              <w:jc w:val="left"/>
              <w:rPr>
                <w:rFonts w:ascii="Verdana" w:hAnsi="Verdana" w:cs="Arial"/>
                <w:b/>
                <w:sz w:val="24"/>
                <w:lang w:val="el-GR" w:eastAsia="el-GR"/>
              </w:rPr>
            </w:pPr>
            <w:r w:rsidRPr="00744B70">
              <w:rPr>
                <w:rFonts w:ascii="Verdana" w:hAnsi="Verdana" w:cs="Arial"/>
                <w:b/>
                <w:sz w:val="18"/>
                <w:szCs w:val="18"/>
                <w:lang w:val="el-GR" w:eastAsia="el-GR"/>
              </w:rPr>
              <w:t xml:space="preserve">ΠΡΟΜΗΘΕΙΑ  </w:t>
            </w:r>
            <w:r w:rsidRPr="00744B70">
              <w:rPr>
                <w:rFonts w:ascii="Verdana" w:hAnsi="Verdana" w:cs="Arial"/>
                <w:b/>
                <w:szCs w:val="22"/>
                <w:lang w:val="el-GR" w:eastAsia="el-GR"/>
              </w:rPr>
              <w:t xml:space="preserve"> </w:t>
            </w:r>
            <w:r w:rsidRPr="00744B70">
              <w:rPr>
                <w:rFonts w:ascii="Verdana" w:hAnsi="Verdana" w:cs="Arial"/>
                <w:b/>
                <w:sz w:val="18"/>
                <w:szCs w:val="18"/>
                <w:lang w:val="el-GR" w:eastAsia="el-GR"/>
              </w:rPr>
              <w:t xml:space="preserve">ΟΧΗΜΑΤΟΣ ΓΙΑ </w:t>
            </w:r>
            <w:r w:rsidRPr="00744B70">
              <w:rPr>
                <w:rFonts w:ascii="Verdana" w:hAnsi="Verdana" w:cs="Arial"/>
                <w:b/>
                <w:szCs w:val="22"/>
                <w:lang w:val="el-GR" w:eastAsia="el-GR"/>
              </w:rPr>
              <w:t xml:space="preserve">  </w:t>
            </w:r>
            <w:r w:rsidRPr="00744B70">
              <w:rPr>
                <w:rFonts w:ascii="Verdana" w:hAnsi="Verdana" w:cs="Arial"/>
                <w:b/>
                <w:sz w:val="18"/>
                <w:szCs w:val="18"/>
                <w:lang w:val="el-GR" w:eastAsia="el-GR"/>
              </w:rPr>
              <w:t>ΑΝΑΓΚΕΣ ΥΠΗΡΕΣΙΑΣ</w:t>
            </w:r>
            <w:r w:rsidRPr="00744B70">
              <w:rPr>
                <w:rFonts w:ascii="Verdana" w:hAnsi="Verdana" w:cs="Arial"/>
                <w:b/>
                <w:szCs w:val="22"/>
                <w:lang w:val="el-GR" w:eastAsia="el-GR"/>
              </w:rPr>
              <w:t xml:space="preserve"> </w:t>
            </w:r>
            <w:r w:rsidRPr="00744B70">
              <w:rPr>
                <w:rFonts w:ascii="Verdana" w:hAnsi="Verdana" w:cs="Arial"/>
                <w:b/>
                <w:sz w:val="18"/>
                <w:szCs w:val="18"/>
                <w:lang w:val="el-GR" w:eastAsia="el-GR"/>
              </w:rPr>
              <w:t>ΚΑΘΑΡΙΟΤΗΤΑΣ</w:t>
            </w:r>
            <w:r w:rsidRPr="00744B70">
              <w:rPr>
                <w:rFonts w:ascii="Verdana" w:hAnsi="Verdana" w:cs="Arial"/>
                <w:b/>
                <w:szCs w:val="22"/>
                <w:lang w:val="el-GR" w:eastAsia="el-GR"/>
              </w:rPr>
              <w:t xml:space="preserve">                                                        </w:t>
            </w:r>
          </w:p>
          <w:p w14:paraId="1D35DF2E"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Verdana" w:hAnsi="Verdana" w:cs="Arial"/>
                <w:b/>
                <w:szCs w:val="22"/>
                <w:lang w:val="el-GR" w:eastAsia="el-GR"/>
              </w:rPr>
              <w:t xml:space="preserve">    </w:t>
            </w:r>
            <w:r w:rsidRPr="00744B70">
              <w:rPr>
                <w:rFonts w:ascii="Verdana" w:hAnsi="Verdana" w:cs="Arial"/>
                <w:b/>
                <w:sz w:val="18"/>
                <w:szCs w:val="18"/>
                <w:lang w:val="el-GR" w:eastAsia="el-GR"/>
              </w:rPr>
              <w:t>ΔΗΜΟΥ ΙΘΑΚΗΣ (ΦΙΛΟΔΗΜΟΣ ΙΙ)</w:t>
            </w:r>
            <w:r w:rsidRPr="00744B70">
              <w:rPr>
                <w:rFonts w:ascii="Verdana" w:hAnsi="Verdana" w:cs="Arial"/>
                <w:b/>
                <w:szCs w:val="22"/>
                <w:lang w:val="el-GR" w:eastAsia="el-GR"/>
              </w:rPr>
              <w:t xml:space="preserve">         </w:t>
            </w:r>
          </w:p>
        </w:tc>
        <w:tc>
          <w:tcPr>
            <w:tcW w:w="992" w:type="dxa"/>
            <w:tcBorders>
              <w:top w:val="nil"/>
            </w:tcBorders>
            <w:vAlign w:val="center"/>
          </w:tcPr>
          <w:p w14:paraId="36BF99D7" w14:textId="77777777" w:rsidR="00744B70" w:rsidRPr="00744B70" w:rsidRDefault="00744B70" w:rsidP="00744B70">
            <w:pPr>
              <w:suppressAutoHyphens w:val="0"/>
              <w:spacing w:after="0"/>
              <w:jc w:val="left"/>
              <w:rPr>
                <w:rFonts w:ascii="Arial" w:hAnsi="Arial" w:cs="Arial"/>
                <w:sz w:val="24"/>
                <w:lang w:val="el-GR" w:eastAsia="el-GR"/>
              </w:rPr>
            </w:pPr>
          </w:p>
          <w:p w14:paraId="6F7D946F"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1</w:t>
            </w:r>
          </w:p>
        </w:tc>
        <w:tc>
          <w:tcPr>
            <w:tcW w:w="1418" w:type="dxa"/>
            <w:tcBorders>
              <w:top w:val="nil"/>
            </w:tcBorders>
            <w:vAlign w:val="center"/>
          </w:tcPr>
          <w:p w14:paraId="3FB46388"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48.387,10</w:t>
            </w:r>
          </w:p>
        </w:tc>
        <w:tc>
          <w:tcPr>
            <w:tcW w:w="1984" w:type="dxa"/>
            <w:tcBorders>
              <w:top w:val="nil"/>
            </w:tcBorders>
            <w:vAlign w:val="center"/>
          </w:tcPr>
          <w:p w14:paraId="065B1FF7"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48.387,10</w:t>
            </w:r>
          </w:p>
        </w:tc>
      </w:tr>
      <w:tr w:rsidR="00744B70" w:rsidRPr="00744B70" w14:paraId="65CE4AEA" w14:textId="77777777" w:rsidTr="0075659A">
        <w:trPr>
          <w:cantSplit/>
        </w:trPr>
        <w:tc>
          <w:tcPr>
            <w:tcW w:w="4928" w:type="dxa"/>
            <w:gridSpan w:val="2"/>
            <w:vMerge w:val="restart"/>
            <w:tcBorders>
              <w:left w:val="nil"/>
            </w:tcBorders>
            <w:vAlign w:val="center"/>
          </w:tcPr>
          <w:p w14:paraId="446B9604" w14:textId="77777777" w:rsidR="00744B70" w:rsidRPr="00744B70" w:rsidRDefault="00744B70" w:rsidP="00744B70">
            <w:pPr>
              <w:suppressAutoHyphens w:val="0"/>
              <w:spacing w:after="0"/>
              <w:jc w:val="left"/>
              <w:rPr>
                <w:rFonts w:ascii="Arial" w:hAnsi="Arial" w:cs="Arial"/>
                <w:sz w:val="24"/>
                <w:lang w:val="el-GR" w:eastAsia="el-GR"/>
              </w:rPr>
            </w:pPr>
          </w:p>
        </w:tc>
        <w:tc>
          <w:tcPr>
            <w:tcW w:w="2410" w:type="dxa"/>
            <w:gridSpan w:val="2"/>
            <w:vAlign w:val="center"/>
          </w:tcPr>
          <w:p w14:paraId="6E66FD6E" w14:textId="77777777" w:rsidR="00744B70" w:rsidRPr="00744B70" w:rsidRDefault="00744B70" w:rsidP="00744B70">
            <w:pPr>
              <w:suppressAutoHyphens w:val="0"/>
              <w:spacing w:after="0"/>
              <w:jc w:val="left"/>
              <w:rPr>
                <w:rFonts w:ascii="Arial" w:hAnsi="Arial" w:cs="Arial"/>
                <w:sz w:val="24"/>
                <w:lang w:val="el-GR" w:eastAsia="el-GR"/>
              </w:rPr>
            </w:pPr>
          </w:p>
          <w:p w14:paraId="001546F9"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ΣΥΝΟΛΟ</w:t>
            </w:r>
          </w:p>
        </w:tc>
        <w:tc>
          <w:tcPr>
            <w:tcW w:w="1984" w:type="dxa"/>
            <w:vAlign w:val="center"/>
          </w:tcPr>
          <w:p w14:paraId="4B50620C"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48.387,10</w:t>
            </w:r>
          </w:p>
        </w:tc>
      </w:tr>
      <w:tr w:rsidR="00744B70" w:rsidRPr="00744B70" w14:paraId="51955500" w14:textId="77777777" w:rsidTr="0075659A">
        <w:trPr>
          <w:cantSplit/>
        </w:trPr>
        <w:tc>
          <w:tcPr>
            <w:tcW w:w="4928" w:type="dxa"/>
            <w:gridSpan w:val="2"/>
            <w:vMerge/>
            <w:tcBorders>
              <w:left w:val="nil"/>
            </w:tcBorders>
            <w:vAlign w:val="center"/>
          </w:tcPr>
          <w:p w14:paraId="361CD158" w14:textId="77777777" w:rsidR="00744B70" w:rsidRPr="00744B70" w:rsidRDefault="00744B70" w:rsidP="00744B70">
            <w:pPr>
              <w:suppressAutoHyphens w:val="0"/>
              <w:spacing w:after="0"/>
              <w:jc w:val="left"/>
              <w:rPr>
                <w:rFonts w:ascii="Arial" w:hAnsi="Arial" w:cs="Arial"/>
                <w:sz w:val="24"/>
                <w:lang w:val="el-GR" w:eastAsia="el-GR"/>
              </w:rPr>
            </w:pPr>
          </w:p>
        </w:tc>
        <w:tc>
          <w:tcPr>
            <w:tcW w:w="2410" w:type="dxa"/>
            <w:gridSpan w:val="2"/>
            <w:vAlign w:val="center"/>
          </w:tcPr>
          <w:p w14:paraId="0A97EABF" w14:textId="77777777" w:rsidR="00744B70" w:rsidRPr="00744B70" w:rsidRDefault="00744B70" w:rsidP="00744B70">
            <w:pPr>
              <w:suppressAutoHyphens w:val="0"/>
              <w:spacing w:after="0"/>
              <w:jc w:val="left"/>
              <w:rPr>
                <w:rFonts w:ascii="Arial" w:hAnsi="Arial" w:cs="Arial"/>
                <w:sz w:val="24"/>
                <w:lang w:val="el-GR" w:eastAsia="el-GR"/>
              </w:rPr>
            </w:pPr>
          </w:p>
          <w:p w14:paraId="011569B2"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sz w:val="24"/>
                <w:szCs w:val="22"/>
                <w:lang w:val="el-GR" w:eastAsia="el-GR"/>
              </w:rPr>
              <w:t>Φ.Π.Α. 2</w:t>
            </w:r>
            <w:r w:rsidRPr="00744B70">
              <w:rPr>
                <w:rFonts w:ascii="Arial" w:hAnsi="Arial" w:cs="Arial"/>
                <w:sz w:val="24"/>
                <w:szCs w:val="22"/>
                <w:lang w:val="en-US" w:eastAsia="el-GR"/>
              </w:rPr>
              <w:t>4</w:t>
            </w:r>
            <w:r w:rsidRPr="00744B70">
              <w:rPr>
                <w:rFonts w:ascii="Arial" w:hAnsi="Arial" w:cs="Arial"/>
                <w:sz w:val="24"/>
                <w:szCs w:val="22"/>
                <w:lang w:val="el-GR" w:eastAsia="el-GR"/>
              </w:rPr>
              <w:t>%</w:t>
            </w:r>
          </w:p>
        </w:tc>
        <w:tc>
          <w:tcPr>
            <w:tcW w:w="1984" w:type="dxa"/>
            <w:vAlign w:val="center"/>
          </w:tcPr>
          <w:p w14:paraId="2D849001" w14:textId="77777777" w:rsidR="00744B70" w:rsidRPr="00744B70" w:rsidRDefault="00744B70" w:rsidP="00744B70">
            <w:pPr>
              <w:suppressAutoHyphens w:val="0"/>
              <w:spacing w:after="0"/>
              <w:jc w:val="left"/>
              <w:rPr>
                <w:rFonts w:ascii="Arial" w:hAnsi="Arial" w:cs="Arial"/>
                <w:sz w:val="24"/>
                <w:lang w:val="en-US" w:eastAsia="el-GR"/>
              </w:rPr>
            </w:pPr>
            <w:r w:rsidRPr="00744B70">
              <w:rPr>
                <w:rFonts w:ascii="Arial" w:hAnsi="Arial" w:cs="Arial"/>
                <w:sz w:val="24"/>
                <w:szCs w:val="22"/>
                <w:lang w:val="el-GR" w:eastAsia="el-GR"/>
              </w:rPr>
              <w:t>11.612,90</w:t>
            </w:r>
          </w:p>
        </w:tc>
      </w:tr>
      <w:tr w:rsidR="00744B70" w:rsidRPr="00744B70" w14:paraId="7A546EF1" w14:textId="77777777" w:rsidTr="0075659A">
        <w:trPr>
          <w:cantSplit/>
        </w:trPr>
        <w:tc>
          <w:tcPr>
            <w:tcW w:w="4928" w:type="dxa"/>
            <w:gridSpan w:val="2"/>
            <w:vMerge/>
            <w:tcBorders>
              <w:left w:val="nil"/>
              <w:bottom w:val="nil"/>
            </w:tcBorders>
            <w:vAlign w:val="center"/>
          </w:tcPr>
          <w:p w14:paraId="68EAAFC9" w14:textId="77777777" w:rsidR="00744B70" w:rsidRPr="00744B70" w:rsidRDefault="00744B70" w:rsidP="00744B70">
            <w:pPr>
              <w:suppressAutoHyphens w:val="0"/>
              <w:spacing w:after="0"/>
              <w:jc w:val="left"/>
              <w:rPr>
                <w:rFonts w:ascii="Arial" w:hAnsi="Arial" w:cs="Arial"/>
                <w:sz w:val="24"/>
                <w:lang w:val="el-GR" w:eastAsia="el-GR"/>
              </w:rPr>
            </w:pPr>
          </w:p>
        </w:tc>
        <w:tc>
          <w:tcPr>
            <w:tcW w:w="2410" w:type="dxa"/>
            <w:gridSpan w:val="2"/>
            <w:shd w:val="pct20" w:color="000000" w:fill="FFFFFF"/>
            <w:vAlign w:val="center"/>
          </w:tcPr>
          <w:p w14:paraId="0E669ED2" w14:textId="77777777" w:rsidR="00744B70" w:rsidRPr="00744B70" w:rsidRDefault="00744B70" w:rsidP="00744B70">
            <w:pPr>
              <w:suppressAutoHyphens w:val="0"/>
              <w:spacing w:after="0"/>
              <w:jc w:val="left"/>
              <w:rPr>
                <w:rFonts w:ascii="Arial" w:hAnsi="Arial" w:cs="Arial"/>
                <w:sz w:val="24"/>
                <w:lang w:val="el-GR" w:eastAsia="el-GR"/>
              </w:rPr>
            </w:pPr>
            <w:r w:rsidRPr="00744B70">
              <w:rPr>
                <w:rFonts w:ascii="Arial" w:hAnsi="Arial" w:cs="Arial"/>
                <w:b/>
                <w:sz w:val="24"/>
                <w:szCs w:val="22"/>
                <w:lang w:val="el-GR" w:eastAsia="el-GR"/>
              </w:rPr>
              <w:t>ΑΠΑΙΤΟΥΜΕΝΗ ΔΑΠΑΝΗ</w:t>
            </w:r>
          </w:p>
        </w:tc>
        <w:tc>
          <w:tcPr>
            <w:tcW w:w="1984" w:type="dxa"/>
            <w:vAlign w:val="center"/>
          </w:tcPr>
          <w:p w14:paraId="11E787E1" w14:textId="77777777" w:rsidR="00744B70" w:rsidRPr="00744B70" w:rsidRDefault="00744B70" w:rsidP="00744B70">
            <w:pPr>
              <w:suppressAutoHyphens w:val="0"/>
              <w:spacing w:after="0"/>
              <w:jc w:val="left"/>
              <w:rPr>
                <w:rFonts w:ascii="Arial" w:hAnsi="Arial" w:cs="Arial"/>
                <w:b/>
                <w:sz w:val="24"/>
                <w:lang w:val="en-US" w:eastAsia="el-GR"/>
              </w:rPr>
            </w:pPr>
            <w:r w:rsidRPr="00744B70">
              <w:rPr>
                <w:rFonts w:ascii="Arial" w:hAnsi="Arial" w:cs="Arial"/>
                <w:b/>
                <w:sz w:val="24"/>
                <w:szCs w:val="22"/>
                <w:lang w:val="en-US" w:eastAsia="el-GR"/>
              </w:rPr>
              <w:t>6</w:t>
            </w:r>
            <w:r w:rsidRPr="00744B70">
              <w:rPr>
                <w:rFonts w:ascii="Arial" w:hAnsi="Arial" w:cs="Arial"/>
                <w:b/>
                <w:sz w:val="24"/>
                <w:szCs w:val="22"/>
                <w:lang w:val="el-GR" w:eastAsia="el-GR"/>
              </w:rPr>
              <w:t>0</w:t>
            </w:r>
            <w:r w:rsidRPr="00744B70">
              <w:rPr>
                <w:rFonts w:ascii="Arial" w:hAnsi="Arial" w:cs="Arial"/>
                <w:b/>
                <w:sz w:val="24"/>
                <w:szCs w:val="22"/>
                <w:lang w:val="en-US" w:eastAsia="el-GR"/>
              </w:rPr>
              <w:t>.</w:t>
            </w:r>
            <w:r w:rsidRPr="00744B70">
              <w:rPr>
                <w:rFonts w:ascii="Arial" w:hAnsi="Arial" w:cs="Arial"/>
                <w:b/>
                <w:sz w:val="24"/>
                <w:szCs w:val="22"/>
                <w:lang w:val="el-GR" w:eastAsia="el-GR"/>
              </w:rPr>
              <w:t>0</w:t>
            </w:r>
            <w:r w:rsidRPr="00744B70">
              <w:rPr>
                <w:rFonts w:ascii="Arial" w:hAnsi="Arial" w:cs="Arial"/>
                <w:b/>
                <w:sz w:val="24"/>
                <w:szCs w:val="22"/>
                <w:lang w:val="en-US" w:eastAsia="el-GR"/>
              </w:rPr>
              <w:t>00,00</w:t>
            </w:r>
          </w:p>
        </w:tc>
      </w:tr>
    </w:tbl>
    <w:p w14:paraId="14311A33" w14:textId="77777777" w:rsidR="00744B70" w:rsidRPr="00744B70" w:rsidRDefault="00744B70" w:rsidP="00744B70">
      <w:pPr>
        <w:suppressAutoHyphens w:val="0"/>
        <w:overflowPunct w:val="0"/>
        <w:autoSpaceDE w:val="0"/>
        <w:autoSpaceDN w:val="0"/>
        <w:adjustRightInd w:val="0"/>
        <w:spacing w:after="0" w:line="276" w:lineRule="auto"/>
        <w:jc w:val="left"/>
        <w:textAlignment w:val="baseline"/>
        <w:rPr>
          <w:rFonts w:ascii="Arial" w:hAnsi="Arial" w:cs="Arial"/>
          <w:sz w:val="24"/>
          <w:szCs w:val="22"/>
          <w:lang w:val="el-GR" w:eastAsia="el-GR"/>
        </w:rPr>
      </w:pPr>
    </w:p>
    <w:p w14:paraId="3AC6D9BD" w14:textId="77777777" w:rsidR="00744B70" w:rsidRPr="00744B70" w:rsidRDefault="00744B70" w:rsidP="00744B70">
      <w:pPr>
        <w:suppressAutoHyphens w:val="0"/>
        <w:spacing w:after="0"/>
        <w:jc w:val="left"/>
        <w:rPr>
          <w:rFonts w:ascii="Arial" w:hAnsi="Arial" w:cs="Arial"/>
          <w:sz w:val="24"/>
          <w:szCs w:val="22"/>
          <w:lang w:val="en-US" w:eastAsia="el-GR"/>
        </w:rPr>
      </w:pPr>
    </w:p>
    <w:p w14:paraId="71D9DB58" w14:textId="1BED1700" w:rsidR="003929DA" w:rsidRDefault="003929DA">
      <w:pPr>
        <w:pStyle w:val="2"/>
        <w:tabs>
          <w:tab w:val="clear" w:pos="567"/>
          <w:tab w:val="left" w:pos="0"/>
        </w:tabs>
        <w:spacing w:before="57" w:after="57"/>
        <w:ind w:left="0" w:firstLine="0"/>
        <w:rPr>
          <w:rFonts w:eastAsia="SimSun"/>
          <w:i/>
          <w:iCs/>
          <w:color w:val="5B9BD5"/>
          <w:lang w:val="el-GR"/>
        </w:rPr>
      </w:pPr>
      <w:bookmarkStart w:id="75" w:name="_Toc129004465"/>
      <w:r>
        <w:rPr>
          <w:lang w:val="el-GR"/>
        </w:rPr>
        <w:t>ΠΑΡΑΡΤΗΜΑ ΙΙ –  Ειδική Συγγραφή Υποχρεώσεων</w:t>
      </w:r>
      <w:bookmarkEnd w:id="75"/>
    </w:p>
    <w:p w14:paraId="5EE3DF44" w14:textId="77777777" w:rsidR="00744B70" w:rsidRDefault="00744B70" w:rsidP="00744B70">
      <w:pPr>
        <w:suppressAutoHyphens w:val="0"/>
        <w:autoSpaceDE w:val="0"/>
        <w:spacing w:before="57" w:after="57"/>
        <w:rPr>
          <w:lang w:val="el-GR"/>
        </w:rPr>
      </w:pPr>
    </w:p>
    <w:p w14:paraId="03E96F7F" w14:textId="66F90C44" w:rsidR="00744B70" w:rsidRPr="00744B70" w:rsidRDefault="00744B70" w:rsidP="00744B70">
      <w:pPr>
        <w:suppressAutoHyphens w:val="0"/>
        <w:autoSpaceDE w:val="0"/>
        <w:spacing w:before="57" w:after="57"/>
        <w:rPr>
          <w:lang w:val="el-GR"/>
        </w:rPr>
      </w:pPr>
      <w:r w:rsidRPr="00744B70">
        <w:rPr>
          <w:b/>
          <w:lang w:val="el-GR"/>
        </w:rPr>
        <w:t xml:space="preserve">  ΣΥΓΓΡΑΦΗ   ΥΠΟΧΡΕΩΣΕΩΝ</w:t>
      </w:r>
    </w:p>
    <w:p w14:paraId="2D66FBA8" w14:textId="77777777" w:rsidR="00744B70" w:rsidRPr="00744B70" w:rsidRDefault="00744B70" w:rsidP="00744B70">
      <w:pPr>
        <w:suppressAutoHyphens w:val="0"/>
        <w:autoSpaceDE w:val="0"/>
        <w:spacing w:before="57" w:after="57"/>
        <w:rPr>
          <w:lang w:val="el-GR"/>
        </w:rPr>
      </w:pPr>
      <w:r w:rsidRPr="00744B70">
        <w:rPr>
          <w:lang w:val="el-GR"/>
        </w:rPr>
        <w:t>Άρθρο 1ο :Αντικείμενο συγγραφής</w:t>
      </w:r>
    </w:p>
    <w:p w14:paraId="62D12F6D" w14:textId="77777777" w:rsidR="00744B70" w:rsidRPr="00744B70" w:rsidRDefault="00744B70" w:rsidP="00744B70">
      <w:pPr>
        <w:suppressAutoHyphens w:val="0"/>
        <w:autoSpaceDE w:val="0"/>
        <w:spacing w:before="57" w:after="57"/>
        <w:rPr>
          <w:lang w:val="el-GR"/>
        </w:rPr>
      </w:pPr>
      <w:r w:rsidRPr="00744B70">
        <w:rPr>
          <w:lang w:val="el-GR"/>
        </w:rPr>
        <w:t xml:space="preserve">Η συγγραφή αυτή αφορά στην ΠΡΟΜΗΘΕΙΑ ΜΕ ΤΙΤΛΟ: «ΠΡΟΜΗΘΕΙΑ ΟΧΗΜΑΤΟΣ ΓΙΑ  ΑΝΑΓΚΕΣ ΚΑΘΑΡΙΟΤΗΤΑΣ ΤΟΥ ΔΗΜΟΥ ΙΘΑΚΗΣ». Το τεύχος συγγραφής υποχρεώσεων περιλαμβάνει τους ειδικούς όρους, </w:t>
      </w:r>
      <w:proofErr w:type="spellStart"/>
      <w:r w:rsidRPr="00744B70">
        <w:rPr>
          <w:lang w:val="el-GR"/>
        </w:rPr>
        <w:t>σύµφωνα</w:t>
      </w:r>
      <w:proofErr w:type="spellEnd"/>
      <w:r w:rsidRPr="00744B70">
        <w:rPr>
          <w:lang w:val="el-GR"/>
        </w:rPr>
        <w:t xml:space="preserve"> µε τους οποίους και σε συνδυασμό προς τους υπόλοιπους όρους των συμβατικών τευχών, πρόκειται να γίνει η παραπάνω προμήθεια. </w:t>
      </w:r>
    </w:p>
    <w:p w14:paraId="0E1548CF" w14:textId="77777777" w:rsidR="00744B70" w:rsidRPr="00744B70" w:rsidRDefault="00744B70" w:rsidP="00744B70">
      <w:pPr>
        <w:suppressAutoHyphens w:val="0"/>
        <w:autoSpaceDE w:val="0"/>
        <w:spacing w:before="57" w:after="57"/>
        <w:rPr>
          <w:lang w:val="el-GR"/>
        </w:rPr>
      </w:pPr>
    </w:p>
    <w:p w14:paraId="6196E95D" w14:textId="77777777" w:rsidR="00744B70" w:rsidRPr="00744B70" w:rsidRDefault="00744B70" w:rsidP="00744B70">
      <w:pPr>
        <w:suppressAutoHyphens w:val="0"/>
        <w:autoSpaceDE w:val="0"/>
        <w:spacing w:before="57" w:after="57"/>
        <w:rPr>
          <w:lang w:val="el-GR"/>
        </w:rPr>
      </w:pPr>
      <w:r w:rsidRPr="00744B70">
        <w:rPr>
          <w:lang w:val="el-GR"/>
        </w:rPr>
        <w:t>Άρθρο 2ο :     Ισχύουσες διατάξεις</w:t>
      </w:r>
    </w:p>
    <w:p w14:paraId="75838F84" w14:textId="77777777" w:rsidR="00744B70" w:rsidRPr="00744B70" w:rsidRDefault="00744B70" w:rsidP="00744B70">
      <w:pPr>
        <w:suppressAutoHyphens w:val="0"/>
        <w:autoSpaceDE w:val="0"/>
        <w:spacing w:before="57" w:after="57"/>
        <w:rPr>
          <w:lang w:val="el-GR"/>
        </w:rPr>
      </w:pPr>
      <w:r w:rsidRPr="00744B70">
        <w:rPr>
          <w:lang w:val="el-GR"/>
        </w:rPr>
        <w:t xml:space="preserve">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w:t>
      </w:r>
    </w:p>
    <w:p w14:paraId="5325A906" w14:textId="77777777" w:rsidR="00744B70" w:rsidRPr="00744B70" w:rsidRDefault="00744B70" w:rsidP="00744B70">
      <w:pPr>
        <w:suppressAutoHyphens w:val="0"/>
        <w:autoSpaceDE w:val="0"/>
        <w:spacing w:before="57" w:after="57"/>
        <w:rPr>
          <w:lang w:val="el-GR"/>
        </w:rPr>
      </w:pPr>
      <w:r w:rsidRPr="00744B70">
        <w:rPr>
          <w:lang w:val="el-GR"/>
        </w:rPr>
        <w:lastRenderedPageBreak/>
        <w:t xml:space="preserve">  α) του ν. 4412/2016 (Α' 147) “Δημόσιες Συμβάσεις Έργων, Προμηθειών και Υπηρεσιών (προσαρμογή στις Οδηγίες 2014/24/ ΕΕ και 2014/25/ΕΕ)»</w:t>
      </w:r>
    </w:p>
    <w:p w14:paraId="66D21E93" w14:textId="77777777" w:rsidR="00744B70" w:rsidRPr="00744B70" w:rsidRDefault="00744B70" w:rsidP="00744B70">
      <w:pPr>
        <w:suppressAutoHyphens w:val="0"/>
        <w:autoSpaceDE w:val="0"/>
        <w:spacing w:before="57" w:after="57"/>
        <w:rPr>
          <w:lang w:val="el-GR"/>
        </w:rPr>
      </w:pPr>
      <w:r w:rsidRPr="00744B70">
        <w:rPr>
          <w:lang w:val="el-GR"/>
        </w:rPr>
        <w:t xml:space="preserve">  β)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2007 - 2013», </w:t>
      </w:r>
    </w:p>
    <w:p w14:paraId="25EBCD9D" w14:textId="77777777" w:rsidR="00744B70" w:rsidRPr="00744B70" w:rsidRDefault="00744B70" w:rsidP="00744B70">
      <w:pPr>
        <w:suppressAutoHyphens w:val="0"/>
        <w:autoSpaceDE w:val="0"/>
        <w:spacing w:before="57" w:after="57"/>
        <w:rPr>
          <w:lang w:val="el-GR"/>
        </w:rPr>
      </w:pPr>
      <w:r w:rsidRPr="00744B70">
        <w:rPr>
          <w:lang w:val="el-GR"/>
        </w:rPr>
        <w:t xml:space="preserve">  γ) του ν. 4270/2014 (Α' 143) «Αρχές δημοσιονομικής διαχείρισης και εποπτείας (ενσωμάτωση της Οδηγίας 2011/85/ΕΕ) – δημόσιο λογιστικό και άλλες διατάξεις», </w:t>
      </w:r>
    </w:p>
    <w:p w14:paraId="623BBC33" w14:textId="77777777" w:rsidR="00744B70" w:rsidRPr="00744B70" w:rsidRDefault="00744B70" w:rsidP="00744B70">
      <w:pPr>
        <w:suppressAutoHyphens w:val="0"/>
        <w:autoSpaceDE w:val="0"/>
        <w:spacing w:before="57" w:after="57"/>
        <w:rPr>
          <w:lang w:val="el-GR"/>
        </w:rPr>
      </w:pPr>
      <w:r w:rsidRPr="00744B70">
        <w:rPr>
          <w:lang w:val="el-GR"/>
        </w:rPr>
        <w:t xml:space="preserve">  δ) 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744B70">
        <w:rPr>
          <w:lang w:val="el-GR"/>
        </w:rPr>
        <w:t>π.δ</w:t>
      </w:r>
      <w:proofErr w:type="spellEnd"/>
      <w:r w:rsidRPr="00744B70">
        <w:rPr>
          <w:lang w:val="el-GR"/>
        </w:rPr>
        <w:t xml:space="preserve">. 318/1992 (Α΄161) και λοιπές ρυθμίσεις» και ειδικότερα τις διατάξεις του άρθρου 1, </w:t>
      </w:r>
    </w:p>
    <w:p w14:paraId="28AFEB43" w14:textId="77777777" w:rsidR="00744B70" w:rsidRPr="00744B70" w:rsidRDefault="00744B70" w:rsidP="00744B70">
      <w:pPr>
        <w:suppressAutoHyphens w:val="0"/>
        <w:autoSpaceDE w:val="0"/>
        <w:spacing w:before="57" w:after="57"/>
        <w:rPr>
          <w:lang w:val="el-GR"/>
        </w:rPr>
      </w:pPr>
      <w:r w:rsidRPr="00744B70">
        <w:rPr>
          <w:lang w:val="el-GR"/>
        </w:rPr>
        <w:t xml:space="preserve">  ε)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7FE1310B" w14:textId="77777777" w:rsidR="00744B70" w:rsidRPr="00744B70" w:rsidRDefault="00744B70" w:rsidP="00744B70">
      <w:pPr>
        <w:suppressAutoHyphens w:val="0"/>
        <w:autoSpaceDE w:val="0"/>
        <w:spacing w:before="57" w:after="57"/>
        <w:rPr>
          <w:lang w:val="el-GR"/>
        </w:rPr>
      </w:pPr>
      <w:r w:rsidRPr="00744B70">
        <w:rPr>
          <w:lang w:val="el-GR"/>
        </w:rPr>
        <w:t xml:space="preserve">  στ) του ν. 4129/2013 (Α’ 52) «Κύρωση του Κώδικα Νόμων για το Ελεγκτικό Συνέδριο»</w:t>
      </w:r>
    </w:p>
    <w:p w14:paraId="7D236CAD" w14:textId="77777777" w:rsidR="00744B70" w:rsidRPr="00744B70" w:rsidRDefault="00744B70" w:rsidP="00744B70">
      <w:pPr>
        <w:suppressAutoHyphens w:val="0"/>
        <w:autoSpaceDE w:val="0"/>
        <w:spacing w:before="57" w:after="57"/>
        <w:rPr>
          <w:lang w:val="el-GR"/>
        </w:rPr>
      </w:pPr>
      <w:r w:rsidRPr="00744B70">
        <w:rPr>
          <w:lang w:val="el-GR"/>
        </w:rPr>
        <w:t xml:space="preserve">   ζ) του άρθρου 26 του ν.4024/2011 (Α 226) «Συγκρότηση συλλογικών οργάνων της διοίκησης και ορισμός των μελών τους με κλήρωση», </w:t>
      </w:r>
    </w:p>
    <w:p w14:paraId="530D2873" w14:textId="77777777" w:rsidR="00744B70" w:rsidRPr="00744B70" w:rsidRDefault="00744B70" w:rsidP="00744B70">
      <w:pPr>
        <w:suppressAutoHyphens w:val="0"/>
        <w:autoSpaceDE w:val="0"/>
        <w:spacing w:before="57" w:after="57"/>
        <w:rPr>
          <w:lang w:val="el-GR"/>
        </w:rPr>
      </w:pPr>
      <w:r w:rsidRPr="00744B70">
        <w:rPr>
          <w:lang w:val="el-GR"/>
        </w:rPr>
        <w:t xml:space="preserve">  η) του ν. 4013/2011 (Α’ 204) «Σύσταση ενιαίας Ανεξάρτητης Αρχής Δημοσίων Συμβάσεων και Κεντρικού Ηλεκτρονικού Μητρώου Δημοσίων Συμβάσεων…», </w:t>
      </w:r>
    </w:p>
    <w:p w14:paraId="3AD5AA81" w14:textId="77777777" w:rsidR="00744B70" w:rsidRPr="00744B70" w:rsidRDefault="00744B70" w:rsidP="00744B70">
      <w:pPr>
        <w:suppressAutoHyphens w:val="0"/>
        <w:autoSpaceDE w:val="0"/>
        <w:spacing w:before="57" w:after="57"/>
        <w:rPr>
          <w:lang w:val="el-GR"/>
        </w:rPr>
      </w:pPr>
      <w:r w:rsidRPr="00744B70">
        <w:rPr>
          <w:lang w:val="el-GR"/>
        </w:rPr>
        <w:t xml:space="preserve">  θ) του ν. 3861/2010 (Α’ 112) «Ενίσχυση της διαφάνειας με την υποχρεωτική ανάρτηση νόμων και πράξεων των κυβερνητικών, διοικητικών και </w:t>
      </w:r>
      <w:proofErr w:type="spellStart"/>
      <w:r w:rsidRPr="00744B70">
        <w:rPr>
          <w:lang w:val="el-GR"/>
        </w:rPr>
        <w:t>αυτοδιοικητικών</w:t>
      </w:r>
      <w:proofErr w:type="spellEnd"/>
      <w:r w:rsidRPr="00744B70">
        <w:rPr>
          <w:lang w:val="el-GR"/>
        </w:rPr>
        <w:t xml:space="preserve"> οργάνων στο διαδίκτυο "Πρόγραμμα Διαύγεια" και άλλες διατάξεις”, </w:t>
      </w:r>
    </w:p>
    <w:p w14:paraId="31FAF1D4" w14:textId="77777777" w:rsidR="00744B70" w:rsidRPr="00744B70" w:rsidRDefault="00744B70" w:rsidP="00744B70">
      <w:pPr>
        <w:suppressAutoHyphens w:val="0"/>
        <w:autoSpaceDE w:val="0"/>
        <w:spacing w:before="57" w:after="57"/>
        <w:rPr>
          <w:lang w:val="el-GR"/>
        </w:rPr>
      </w:pPr>
      <w:r w:rsidRPr="00744B70">
        <w:rPr>
          <w:lang w:val="el-GR"/>
        </w:rPr>
        <w:t xml:space="preserve">  ι) του ν. 3548/2007 (Α’ 68) «Καταχώριση δημοσιεύσεων των φορέων του Δημοσίου στο νομαρχιακό και τοπικό Τύπο και άλλες διατάξεις»,</w:t>
      </w:r>
    </w:p>
    <w:p w14:paraId="031C1920" w14:textId="77777777" w:rsidR="00744B70" w:rsidRPr="00744B70" w:rsidRDefault="00744B70" w:rsidP="00744B70">
      <w:pPr>
        <w:suppressAutoHyphens w:val="0"/>
        <w:autoSpaceDE w:val="0"/>
        <w:spacing w:before="57" w:after="57"/>
        <w:rPr>
          <w:lang w:val="el-GR"/>
        </w:rPr>
      </w:pPr>
      <w:r w:rsidRPr="00744B70">
        <w:rPr>
          <w:lang w:val="el-GR"/>
        </w:rPr>
        <w:t xml:space="preserve">  ια) του ν. 3469/2006 (Α’ 131) “Εθνικό Τυπογραφείο, </w:t>
      </w:r>
      <w:proofErr w:type="spellStart"/>
      <w:r w:rsidRPr="00744B70">
        <w:rPr>
          <w:lang w:val="el-GR"/>
        </w:rPr>
        <w:t>Εφημερίς</w:t>
      </w:r>
      <w:proofErr w:type="spellEnd"/>
      <w:r w:rsidRPr="00744B70">
        <w:rPr>
          <w:lang w:val="el-GR"/>
        </w:rPr>
        <w:t xml:space="preserve"> της Κυβερνήσεως και λοιπές διατάξεις”,</w:t>
      </w:r>
    </w:p>
    <w:p w14:paraId="67FCA28F" w14:textId="77777777" w:rsidR="00744B70" w:rsidRPr="00744B70" w:rsidRDefault="00744B70" w:rsidP="00744B70">
      <w:pPr>
        <w:suppressAutoHyphens w:val="0"/>
        <w:autoSpaceDE w:val="0"/>
        <w:spacing w:before="57" w:after="57"/>
        <w:rPr>
          <w:lang w:val="el-GR"/>
        </w:rPr>
      </w:pPr>
      <w:r w:rsidRPr="00744B70">
        <w:rPr>
          <w:lang w:val="el-GR"/>
        </w:rPr>
        <w:t xml:space="preserve">  ιβ) 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744B70">
        <w:rPr>
          <w:lang w:val="el-GR"/>
        </w:rPr>
        <w:t>π.δ</w:t>
      </w:r>
      <w:proofErr w:type="spellEnd"/>
      <w:r w:rsidRPr="00744B70">
        <w:rPr>
          <w:lang w:val="el-GR"/>
        </w:rPr>
        <w:t>/</w:t>
      </w:r>
      <w:proofErr w:type="spellStart"/>
      <w:r w:rsidRPr="00744B70">
        <w:rPr>
          <w:lang w:val="el-GR"/>
        </w:rPr>
        <w:t>τος</w:t>
      </w:r>
      <w:proofErr w:type="spellEnd"/>
      <w:r w:rsidRPr="00744B70">
        <w:rPr>
          <w:lang w:val="el-GR"/>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w:t>
      </w:r>
      <w:proofErr w:type="spellStart"/>
      <w:r w:rsidRPr="00744B70">
        <w:rPr>
          <w:lang w:val="el-GR"/>
        </w:rPr>
        <w:t>εξωχώριες</w:t>
      </w:r>
      <w:proofErr w:type="spellEnd"/>
      <w:r w:rsidRPr="00744B70">
        <w:rPr>
          <w:lang w:val="el-GR"/>
        </w:rPr>
        <w:t xml:space="preserve"> εταιρίες”,</w:t>
      </w:r>
    </w:p>
    <w:p w14:paraId="61F54228" w14:textId="77777777" w:rsidR="00744B70" w:rsidRPr="00744B70" w:rsidRDefault="00744B70" w:rsidP="00744B70">
      <w:pPr>
        <w:suppressAutoHyphens w:val="0"/>
        <w:autoSpaceDE w:val="0"/>
        <w:spacing w:before="57" w:after="57"/>
        <w:rPr>
          <w:lang w:val="el-GR"/>
        </w:rPr>
      </w:pPr>
      <w:r w:rsidRPr="00744B70">
        <w:rPr>
          <w:lang w:val="el-GR"/>
        </w:rPr>
        <w:t xml:space="preserve">  ιγ) του ν. 2859/2000 (Α’ 248) «Κύρωση Κώδικα Φόρου Προστιθέμενης Αξίας», </w:t>
      </w:r>
    </w:p>
    <w:p w14:paraId="18F7F331" w14:textId="77777777" w:rsidR="00744B70" w:rsidRPr="00744B70" w:rsidRDefault="00744B70" w:rsidP="00744B70">
      <w:pPr>
        <w:suppressAutoHyphens w:val="0"/>
        <w:autoSpaceDE w:val="0"/>
        <w:spacing w:before="57" w:after="57"/>
        <w:rPr>
          <w:lang w:val="el-GR"/>
        </w:rPr>
      </w:pPr>
      <w:r w:rsidRPr="00744B70">
        <w:rPr>
          <w:lang w:val="el-GR"/>
        </w:rPr>
        <w:t xml:space="preserve">  ιδ) του ν.2690/1999 (Α' 45) “Κύρωση του Κώδικα Διοικητικής Διαδικασίας και άλλες διατάξεις” και ιδίως των άρθρων 7 και 13 έως 15, ιε) του ν. 2121/1993 (Α' 25) “Πνευματική Ιδιοκτησία, Συγγενικά Δικαιώματα και Πολιτιστικά Θέματα”,</w:t>
      </w:r>
    </w:p>
    <w:p w14:paraId="7B395F89" w14:textId="77777777" w:rsidR="00744B70" w:rsidRPr="00744B70" w:rsidRDefault="00744B70" w:rsidP="00744B70">
      <w:pPr>
        <w:suppressAutoHyphens w:val="0"/>
        <w:autoSpaceDE w:val="0"/>
        <w:spacing w:before="57" w:after="57"/>
        <w:rPr>
          <w:lang w:val="el-GR"/>
        </w:rPr>
      </w:pPr>
      <w:r w:rsidRPr="00744B70">
        <w:rPr>
          <w:lang w:val="el-GR"/>
        </w:rPr>
        <w:t xml:space="preserve">   ιστ) του </w:t>
      </w:r>
      <w:proofErr w:type="spellStart"/>
      <w:r w:rsidRPr="00744B70">
        <w:rPr>
          <w:lang w:val="el-GR"/>
        </w:rPr>
        <w:t>π.δ</w:t>
      </w:r>
      <w:proofErr w:type="spellEnd"/>
      <w:r w:rsidRPr="00744B70">
        <w:rPr>
          <w:lang w:val="el-GR"/>
        </w:rPr>
        <w:t xml:space="preserve"> 28/2015 (Α' 34) “Κωδικοποίηση διατάξεων για την πρόσβαση σε δημόσια έγγραφα και στοιχεία”, ιζ) το </w:t>
      </w:r>
      <w:proofErr w:type="spellStart"/>
      <w:r w:rsidRPr="00744B70">
        <w:rPr>
          <w:lang w:val="el-GR"/>
        </w:rPr>
        <w:t>π.δ</w:t>
      </w:r>
      <w:proofErr w:type="spellEnd"/>
      <w:r w:rsidRPr="00744B70">
        <w:rPr>
          <w:lang w:val="el-GR"/>
        </w:rPr>
        <w:t xml:space="preserve">. 80/2016 (Α΄145) “Ανάληψη υποχρεώσεων από τους </w:t>
      </w:r>
      <w:proofErr w:type="spellStart"/>
      <w:r w:rsidRPr="00744B70">
        <w:rPr>
          <w:lang w:val="el-GR"/>
        </w:rPr>
        <w:t>Διατάκτες</w:t>
      </w:r>
      <w:proofErr w:type="spellEnd"/>
      <w:r w:rsidRPr="00744B70">
        <w:rPr>
          <w:lang w:val="el-GR"/>
        </w:rPr>
        <w:t>” όπως τροποποιήθηκε και ισχύει,</w:t>
      </w:r>
    </w:p>
    <w:p w14:paraId="63130893" w14:textId="77777777" w:rsidR="00744B70" w:rsidRPr="00744B70" w:rsidRDefault="00744B70" w:rsidP="00744B70">
      <w:pPr>
        <w:suppressAutoHyphens w:val="0"/>
        <w:autoSpaceDE w:val="0"/>
        <w:spacing w:before="57" w:after="57"/>
        <w:rPr>
          <w:lang w:val="el-GR"/>
        </w:rPr>
      </w:pPr>
      <w:r w:rsidRPr="00744B70">
        <w:rPr>
          <w:lang w:val="el-GR"/>
        </w:rPr>
        <w:t xml:space="preserve">   ιη) της με αρ. Π1 2380/2012 Κοινής Υπουργικής Απόφασης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14:paraId="6C3CC857" w14:textId="77777777" w:rsidR="00744B70" w:rsidRPr="00744B70" w:rsidRDefault="00744B70" w:rsidP="00744B70">
      <w:pPr>
        <w:suppressAutoHyphens w:val="0"/>
        <w:autoSpaceDE w:val="0"/>
        <w:spacing w:before="57" w:after="57"/>
        <w:rPr>
          <w:lang w:val="el-GR"/>
        </w:rPr>
      </w:pPr>
      <w:r w:rsidRPr="00744B70">
        <w:rPr>
          <w:lang w:val="el-GR"/>
        </w:rPr>
        <w:t xml:space="preserve">   ιθ) της με αρ.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 (Ε.Σ.Η.ΔΗ.Σ.), </w:t>
      </w:r>
    </w:p>
    <w:p w14:paraId="62165E03" w14:textId="7B58815D" w:rsidR="00744B70" w:rsidRPr="00744B70" w:rsidRDefault="00744B70" w:rsidP="00744B70">
      <w:pPr>
        <w:suppressAutoHyphens w:val="0"/>
        <w:autoSpaceDE w:val="0"/>
        <w:spacing w:before="57" w:after="57"/>
        <w:rPr>
          <w:lang w:val="el-GR"/>
        </w:rPr>
      </w:pPr>
      <w:r w:rsidRPr="00744B70">
        <w:rPr>
          <w:lang w:val="el-GR"/>
        </w:rPr>
        <w:t xml:space="preserve">  κ) του ν. 4555/2018 (Α’ 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w:t>
      </w:r>
      <w:r w:rsidRPr="00744B70">
        <w:rPr>
          <w:lang w:val="el-GR"/>
        </w:rPr>
        <w:lastRenderedPageBreak/>
        <w:t xml:space="preserve">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 των σε εκτέλεση των ανωτέρω νόμων </w:t>
      </w:r>
      <w:proofErr w:type="spellStart"/>
      <w:r w:rsidRPr="00744B70">
        <w:rPr>
          <w:lang w:val="el-GR"/>
        </w:rPr>
        <w:t>εκδοθεισών</w:t>
      </w:r>
      <w:proofErr w:type="spellEnd"/>
      <w:r w:rsidRPr="00744B70">
        <w:rPr>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F219733" w14:textId="77777777" w:rsidR="00744B70" w:rsidRPr="00744B70" w:rsidRDefault="00744B70" w:rsidP="00744B70">
      <w:pPr>
        <w:suppressAutoHyphens w:val="0"/>
        <w:autoSpaceDE w:val="0"/>
        <w:spacing w:before="57" w:after="57"/>
        <w:rPr>
          <w:lang w:val="el-GR"/>
        </w:rPr>
      </w:pPr>
    </w:p>
    <w:p w14:paraId="16B2278B" w14:textId="77777777" w:rsidR="00744B70" w:rsidRPr="00744B70" w:rsidRDefault="00744B70" w:rsidP="00744B70">
      <w:pPr>
        <w:suppressAutoHyphens w:val="0"/>
        <w:autoSpaceDE w:val="0"/>
        <w:spacing w:before="57" w:after="57"/>
        <w:rPr>
          <w:lang w:val="el-GR"/>
        </w:rPr>
      </w:pPr>
      <w:r w:rsidRPr="00744B70">
        <w:rPr>
          <w:lang w:val="el-GR"/>
        </w:rPr>
        <w:t>Άρθρο 3ο :Συμβατικά στοιχεία</w:t>
      </w:r>
    </w:p>
    <w:p w14:paraId="4BA3B2D2" w14:textId="77777777" w:rsidR="00744B70" w:rsidRPr="00744B70" w:rsidRDefault="00744B70" w:rsidP="00744B70">
      <w:pPr>
        <w:suppressAutoHyphens w:val="0"/>
        <w:autoSpaceDE w:val="0"/>
        <w:spacing w:before="57" w:after="57"/>
        <w:rPr>
          <w:lang w:val="el-GR"/>
        </w:rPr>
      </w:pPr>
      <w:r w:rsidRPr="00744B70">
        <w:rPr>
          <w:lang w:val="el-GR"/>
        </w:rPr>
        <w:t xml:space="preserve">Τα συμβατικά στοιχεία κατά σειρά ισχύος είναι: </w:t>
      </w:r>
    </w:p>
    <w:p w14:paraId="62100C63" w14:textId="77777777" w:rsidR="00744B70" w:rsidRPr="00744B70" w:rsidRDefault="00744B70" w:rsidP="00744B70">
      <w:pPr>
        <w:suppressAutoHyphens w:val="0"/>
        <w:autoSpaceDE w:val="0"/>
        <w:spacing w:before="57" w:after="57"/>
        <w:rPr>
          <w:lang w:val="el-GR"/>
        </w:rPr>
      </w:pPr>
      <w:r w:rsidRPr="00744B70">
        <w:rPr>
          <w:lang w:val="el-GR"/>
        </w:rPr>
        <w:t xml:space="preserve">α) Η Διακήρυξη </w:t>
      </w:r>
    </w:p>
    <w:p w14:paraId="1CB81399" w14:textId="77777777" w:rsidR="00744B70" w:rsidRPr="00744B70" w:rsidRDefault="00744B70" w:rsidP="00744B70">
      <w:pPr>
        <w:suppressAutoHyphens w:val="0"/>
        <w:autoSpaceDE w:val="0"/>
        <w:spacing w:before="57" w:after="57"/>
        <w:rPr>
          <w:lang w:val="el-GR"/>
        </w:rPr>
      </w:pPr>
      <w:r w:rsidRPr="00744B70">
        <w:rPr>
          <w:lang w:val="el-GR"/>
        </w:rPr>
        <w:t xml:space="preserve">β) Τεχνικές Προδιαγραφές </w:t>
      </w:r>
    </w:p>
    <w:p w14:paraId="5CD4A20E" w14:textId="77777777" w:rsidR="00744B70" w:rsidRPr="00744B70" w:rsidRDefault="00744B70" w:rsidP="00744B70">
      <w:pPr>
        <w:suppressAutoHyphens w:val="0"/>
        <w:autoSpaceDE w:val="0"/>
        <w:spacing w:before="57" w:after="57"/>
        <w:rPr>
          <w:lang w:val="el-GR"/>
        </w:rPr>
      </w:pPr>
      <w:r w:rsidRPr="00744B70">
        <w:rPr>
          <w:lang w:val="el-GR"/>
        </w:rPr>
        <w:t xml:space="preserve">γ) Τεχνική Έκθεση </w:t>
      </w:r>
    </w:p>
    <w:p w14:paraId="6459EC3E" w14:textId="77777777" w:rsidR="00744B70" w:rsidRPr="00744B70" w:rsidRDefault="00744B70" w:rsidP="00744B70">
      <w:pPr>
        <w:suppressAutoHyphens w:val="0"/>
        <w:autoSpaceDE w:val="0"/>
        <w:spacing w:before="57" w:after="57"/>
        <w:rPr>
          <w:lang w:val="el-GR"/>
        </w:rPr>
      </w:pPr>
      <w:r w:rsidRPr="00744B70">
        <w:rPr>
          <w:lang w:val="el-GR"/>
        </w:rPr>
        <w:t xml:space="preserve">δ) Ενδεικτικός Προϋπολογισμός </w:t>
      </w:r>
    </w:p>
    <w:p w14:paraId="68C8FBB6" w14:textId="77777777" w:rsidR="00744B70" w:rsidRPr="00744B70" w:rsidRDefault="00744B70" w:rsidP="00744B70">
      <w:pPr>
        <w:suppressAutoHyphens w:val="0"/>
        <w:autoSpaceDE w:val="0"/>
        <w:spacing w:before="57" w:after="57"/>
        <w:rPr>
          <w:lang w:val="el-GR"/>
        </w:rPr>
      </w:pPr>
      <w:r w:rsidRPr="00744B70">
        <w:rPr>
          <w:lang w:val="el-GR"/>
        </w:rPr>
        <w:t>ε) Συγγραφή Υποχρεώσεων</w:t>
      </w:r>
    </w:p>
    <w:p w14:paraId="016D5242" w14:textId="77777777" w:rsidR="00744B70" w:rsidRPr="00744B70" w:rsidRDefault="00744B70" w:rsidP="00744B70">
      <w:pPr>
        <w:suppressAutoHyphens w:val="0"/>
        <w:autoSpaceDE w:val="0"/>
        <w:spacing w:before="57" w:after="57"/>
        <w:rPr>
          <w:lang w:val="el-GR"/>
        </w:rPr>
      </w:pPr>
    </w:p>
    <w:p w14:paraId="59F958FC" w14:textId="77777777" w:rsidR="00744B70" w:rsidRPr="00744B70" w:rsidRDefault="00744B70" w:rsidP="00744B70">
      <w:pPr>
        <w:suppressAutoHyphens w:val="0"/>
        <w:autoSpaceDE w:val="0"/>
        <w:spacing w:before="57" w:after="57"/>
        <w:rPr>
          <w:lang w:val="el-GR"/>
        </w:rPr>
      </w:pPr>
      <w:r w:rsidRPr="00744B70">
        <w:rPr>
          <w:lang w:val="el-GR"/>
        </w:rPr>
        <w:t>Άρθρο 4ο : Τρόπος και χρόνος εκτέλεσης της προμήθειας</w:t>
      </w:r>
    </w:p>
    <w:p w14:paraId="4DD79F6D" w14:textId="77777777" w:rsidR="00744B70" w:rsidRPr="00744B70" w:rsidRDefault="00744B70" w:rsidP="00744B70">
      <w:pPr>
        <w:suppressAutoHyphens w:val="0"/>
        <w:autoSpaceDE w:val="0"/>
        <w:spacing w:before="57" w:after="57"/>
        <w:rPr>
          <w:lang w:val="el-GR"/>
        </w:rPr>
      </w:pPr>
      <w:r w:rsidRPr="00744B70">
        <w:rPr>
          <w:lang w:val="el-GR"/>
        </w:rPr>
        <w:t>Η προμήθεια θα διεξαχθεί με ηλεκτρονικό ανοικτό διαγωνισμό σύμφωνα με τις διατάξεις του ν.4412/16.</w:t>
      </w:r>
    </w:p>
    <w:p w14:paraId="640C02C5" w14:textId="77777777" w:rsidR="00744B70" w:rsidRPr="00744B70" w:rsidRDefault="00744B70" w:rsidP="00744B70">
      <w:pPr>
        <w:suppressAutoHyphens w:val="0"/>
        <w:autoSpaceDE w:val="0"/>
        <w:spacing w:before="57" w:after="57"/>
        <w:rPr>
          <w:lang w:val="el-GR"/>
        </w:rPr>
      </w:pPr>
    </w:p>
    <w:p w14:paraId="3BD3282B" w14:textId="77777777" w:rsidR="00744B70" w:rsidRPr="00744B70" w:rsidRDefault="00744B70" w:rsidP="00744B70">
      <w:pPr>
        <w:suppressAutoHyphens w:val="0"/>
        <w:autoSpaceDE w:val="0"/>
        <w:spacing w:before="57" w:after="57"/>
        <w:rPr>
          <w:lang w:val="el-GR"/>
        </w:rPr>
      </w:pPr>
      <w:r w:rsidRPr="00744B70">
        <w:rPr>
          <w:lang w:val="el-GR"/>
        </w:rPr>
        <w:t>Άρθρο 5ο :  Δικαιολογητικά συμμετοχής/Περιεχόμενα Τεχνικής Προσφοράς</w:t>
      </w:r>
    </w:p>
    <w:p w14:paraId="2EB8C2FA" w14:textId="77777777" w:rsidR="00744B70" w:rsidRPr="00744B70" w:rsidRDefault="00744B70" w:rsidP="00744B70">
      <w:pPr>
        <w:suppressAutoHyphens w:val="0"/>
        <w:autoSpaceDE w:val="0"/>
        <w:spacing w:before="57" w:after="57"/>
        <w:rPr>
          <w:lang w:val="el-GR"/>
        </w:rPr>
      </w:pPr>
      <w:r w:rsidRPr="00744B70">
        <w:rPr>
          <w:lang w:val="el-GR"/>
        </w:rPr>
        <w:t xml:space="preserve">Τα στοιχεία και δικαιολογητικά για την συμμετοχή των προσφερόντων στη διαγωνιστική διαδικασία περιλαμβάνουν, τουλάχιστον και όπως θα καθοριστούν στην Διακήρυξη: </w:t>
      </w:r>
    </w:p>
    <w:p w14:paraId="011CC3FF" w14:textId="77777777" w:rsidR="00744B70" w:rsidRPr="00744B70" w:rsidRDefault="00744B70" w:rsidP="00744B70">
      <w:pPr>
        <w:suppressAutoHyphens w:val="0"/>
        <w:autoSpaceDE w:val="0"/>
        <w:spacing w:before="57" w:after="57"/>
        <w:rPr>
          <w:lang w:val="el-GR"/>
        </w:rPr>
      </w:pPr>
      <w:r w:rsidRPr="00744B70">
        <w:rPr>
          <w:lang w:val="el-GR"/>
        </w:rPr>
        <w:t xml:space="preserve">α) Το ΕΕΕΣ, όπως προβλέπεται στις διατάξεις του ν. 4412/2016, </w:t>
      </w:r>
    </w:p>
    <w:p w14:paraId="4797B294" w14:textId="77777777" w:rsidR="00744B70" w:rsidRPr="00744B70" w:rsidRDefault="00744B70" w:rsidP="00744B70">
      <w:pPr>
        <w:suppressAutoHyphens w:val="0"/>
        <w:autoSpaceDE w:val="0"/>
        <w:spacing w:before="57" w:after="57"/>
        <w:rPr>
          <w:lang w:val="el-GR"/>
        </w:rPr>
      </w:pPr>
    </w:p>
    <w:p w14:paraId="21AAA04D" w14:textId="77777777" w:rsidR="00744B70" w:rsidRPr="00744B70" w:rsidRDefault="00744B70" w:rsidP="00744B70">
      <w:pPr>
        <w:suppressAutoHyphens w:val="0"/>
        <w:autoSpaceDE w:val="0"/>
        <w:spacing w:before="57" w:after="57"/>
        <w:rPr>
          <w:lang w:val="el-GR"/>
        </w:rPr>
      </w:pPr>
      <w:r w:rsidRPr="00744B70">
        <w:rPr>
          <w:lang w:val="el-GR"/>
        </w:rPr>
        <w:t>β) Την εγγύηση συμμετοχής, όπως προβλέπεται στο άρθρο 72 του Ν.4412/2016 και στην παρούσα διακήρυξη,</w:t>
      </w:r>
    </w:p>
    <w:p w14:paraId="29D46252" w14:textId="77777777" w:rsidR="00744B70" w:rsidRPr="00744B70" w:rsidRDefault="00744B70" w:rsidP="00744B70">
      <w:pPr>
        <w:suppressAutoHyphens w:val="0"/>
        <w:autoSpaceDE w:val="0"/>
        <w:spacing w:before="57" w:after="57"/>
        <w:rPr>
          <w:lang w:val="el-GR"/>
        </w:rPr>
      </w:pPr>
    </w:p>
    <w:p w14:paraId="53CCAE0B" w14:textId="77777777" w:rsidR="00744B70" w:rsidRPr="00744B70" w:rsidRDefault="00744B70" w:rsidP="00744B70">
      <w:pPr>
        <w:suppressAutoHyphens w:val="0"/>
        <w:autoSpaceDE w:val="0"/>
        <w:spacing w:before="57" w:after="57"/>
        <w:rPr>
          <w:lang w:val="el-GR"/>
        </w:rPr>
      </w:pPr>
      <w:r w:rsidRPr="00744B70">
        <w:rPr>
          <w:lang w:val="el-GR"/>
        </w:rPr>
        <w:t xml:space="preserve"> H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 περιγράφοντας ακριβώς πώς οι συγκεκριμένες απαιτήσεις και προδιαγραφές πληρούνται, για κάθε τμήμα για το οποίο οι υποψήφιοι Ανάδοχοι επιθυμούν να υποβάλλουν προσφορά. Περιλαμβάνει ιδίως τα έγγραφα και δικαιολογητικά, βάσει των οποίων θα αξιολογηθεί η καταλληλόλητα των προσφερόμενων ειδών, με βάση το κριτήριο ανάθεσης.</w:t>
      </w:r>
    </w:p>
    <w:p w14:paraId="6E3DB60F" w14:textId="77777777" w:rsidR="00744B70" w:rsidRPr="00744B70" w:rsidRDefault="00744B70" w:rsidP="00744B70">
      <w:pPr>
        <w:suppressAutoHyphens w:val="0"/>
        <w:autoSpaceDE w:val="0"/>
        <w:spacing w:before="57" w:after="57"/>
        <w:rPr>
          <w:lang w:val="el-GR"/>
        </w:rPr>
      </w:pPr>
      <w:r w:rsidRPr="00744B70">
        <w:rPr>
          <w:lang w:val="el-GR"/>
        </w:rPr>
        <w:t>Οι υποψήφιοι Ανάδοχοι θα πρέπει να συμπεριλάβουν στην τεχνική τους προσφορά όλα τα αναφερόμενα στοιχεία που αναφέρονται στον τεύχος ‘’Τεχνικές Προδιαγραφές’’ για κάθε ένα από τα τμήματα για τα οποία επιθυμούν να υποβάλλουν προσφορά.</w:t>
      </w:r>
    </w:p>
    <w:p w14:paraId="507E4406" w14:textId="77777777" w:rsidR="00744B70" w:rsidRPr="00744B70" w:rsidRDefault="00744B70" w:rsidP="00744B70">
      <w:pPr>
        <w:suppressAutoHyphens w:val="0"/>
        <w:autoSpaceDE w:val="0"/>
        <w:spacing w:before="57" w:after="57"/>
        <w:rPr>
          <w:lang w:val="el-GR"/>
        </w:rPr>
      </w:pPr>
    </w:p>
    <w:p w14:paraId="17048DA6" w14:textId="77777777" w:rsidR="00744B70" w:rsidRPr="00744B70" w:rsidRDefault="00744B70" w:rsidP="00744B70">
      <w:pPr>
        <w:suppressAutoHyphens w:val="0"/>
        <w:autoSpaceDE w:val="0"/>
        <w:spacing w:before="57" w:after="57"/>
        <w:rPr>
          <w:lang w:val="el-GR"/>
        </w:rPr>
      </w:pPr>
      <w:r w:rsidRPr="00744B70">
        <w:rPr>
          <w:lang w:val="el-GR"/>
        </w:rPr>
        <w:t>Άρθρο 6ο :     Κριτήριο ανάθεσης</w:t>
      </w:r>
    </w:p>
    <w:p w14:paraId="24BAC943" w14:textId="77777777" w:rsidR="00744B70" w:rsidRPr="00744B70" w:rsidRDefault="00744B70" w:rsidP="00744B70">
      <w:pPr>
        <w:suppressAutoHyphens w:val="0"/>
        <w:autoSpaceDE w:val="0"/>
        <w:spacing w:before="57" w:after="57"/>
        <w:rPr>
          <w:lang w:val="el-GR"/>
        </w:rPr>
      </w:pPr>
      <w:r w:rsidRPr="00744B70">
        <w:rPr>
          <w:lang w:val="el-GR"/>
        </w:rPr>
        <w:t>Κριτήριο ανάθεσης της Σύμβασης είναι η πλέον συμφέρουσα από οικονομική άποψη προσφορά: Βάσει τιμής.</w:t>
      </w:r>
    </w:p>
    <w:p w14:paraId="2CC7CC68" w14:textId="77777777" w:rsidR="00744B70" w:rsidRPr="00744B70" w:rsidRDefault="00744B70" w:rsidP="00744B70">
      <w:pPr>
        <w:suppressAutoHyphens w:val="0"/>
        <w:autoSpaceDE w:val="0"/>
        <w:spacing w:before="57" w:after="57"/>
        <w:rPr>
          <w:lang w:val="el-GR"/>
        </w:rPr>
      </w:pPr>
    </w:p>
    <w:p w14:paraId="07F98D0C" w14:textId="77777777" w:rsidR="00744B70" w:rsidRPr="00744B70" w:rsidRDefault="00744B70" w:rsidP="00744B70">
      <w:pPr>
        <w:suppressAutoHyphens w:val="0"/>
        <w:autoSpaceDE w:val="0"/>
        <w:spacing w:before="57" w:after="57"/>
        <w:rPr>
          <w:lang w:val="el-GR"/>
        </w:rPr>
      </w:pPr>
      <w:r w:rsidRPr="00744B70">
        <w:rPr>
          <w:lang w:val="el-GR"/>
        </w:rPr>
        <w:t>Άρθρο 7ο :    Εγγυήσεις συμμετοχής</w:t>
      </w:r>
    </w:p>
    <w:p w14:paraId="0BA4C1FB" w14:textId="77777777" w:rsidR="00744B70" w:rsidRPr="00744B70" w:rsidRDefault="00744B70" w:rsidP="00744B70">
      <w:pPr>
        <w:suppressAutoHyphens w:val="0"/>
        <w:autoSpaceDE w:val="0"/>
        <w:spacing w:before="57" w:after="57"/>
        <w:rPr>
          <w:lang w:val="el-GR"/>
        </w:rPr>
      </w:pPr>
      <w:r w:rsidRPr="00744B70">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2% επί της καθαρής αξίας του ενδεικτικού προϋπολογισμού των υπό προμήθεια ειδών. </w:t>
      </w:r>
    </w:p>
    <w:p w14:paraId="4AB26BA3" w14:textId="77777777" w:rsidR="00744B70" w:rsidRPr="00744B70" w:rsidRDefault="00744B70" w:rsidP="00744B70">
      <w:pPr>
        <w:suppressAutoHyphens w:val="0"/>
        <w:autoSpaceDE w:val="0"/>
        <w:spacing w:before="57" w:after="57"/>
        <w:rPr>
          <w:lang w:val="el-GR"/>
        </w:rPr>
      </w:pPr>
      <w:r w:rsidRPr="00744B70">
        <w:rPr>
          <w:lang w:val="el-GR"/>
        </w:rPr>
        <w:t xml:space="preserve">Για την κατάθεση προσφοράς για ένα ή περισσότερα από τα υπό προμήθεια είδη, η εγγυητική επιστολή συμμετοχής θα είναι ποσοστό 2% επί της καθαρής αξίας του ενδεικτικού προϋπολογισμού των </w:t>
      </w:r>
      <w:r w:rsidRPr="00744B70">
        <w:rPr>
          <w:lang w:val="el-GR"/>
        </w:rPr>
        <w:lastRenderedPageBreak/>
        <w:t>προσφερόμενων ειδών. Η εγγύηση συμμετοχής πρέπει να ισχύει τουλάχιστον για τριάντα (30) ημέρες μετά τη λήξη του χρόνου ισχύος της προσφοράς.</w:t>
      </w:r>
    </w:p>
    <w:p w14:paraId="39D8218F" w14:textId="77777777" w:rsidR="00744B70" w:rsidRPr="00744B70" w:rsidRDefault="00744B70" w:rsidP="00744B70">
      <w:pPr>
        <w:suppressAutoHyphens w:val="0"/>
        <w:autoSpaceDE w:val="0"/>
        <w:spacing w:before="57" w:after="57"/>
        <w:rPr>
          <w:lang w:val="el-GR"/>
        </w:rPr>
      </w:pPr>
    </w:p>
    <w:p w14:paraId="338C4085" w14:textId="77777777" w:rsidR="00744B70" w:rsidRPr="00744B70" w:rsidRDefault="00744B70" w:rsidP="00744B70">
      <w:pPr>
        <w:suppressAutoHyphens w:val="0"/>
        <w:autoSpaceDE w:val="0"/>
        <w:spacing w:before="57" w:after="57"/>
        <w:rPr>
          <w:lang w:val="el-GR"/>
        </w:rPr>
      </w:pPr>
      <w:r w:rsidRPr="00744B70">
        <w:rPr>
          <w:lang w:val="el-GR"/>
        </w:rPr>
        <w:t>Άρθρο 8ο :       Προθεσμία και τρόποι εκτέλεσης – παραλαβής της προμήθειας- ‘Έκπτωση του Αναδόχου</w:t>
      </w:r>
    </w:p>
    <w:p w14:paraId="2693F26E" w14:textId="77777777" w:rsidR="00744B70" w:rsidRPr="00744B70" w:rsidRDefault="00744B70" w:rsidP="00744B70">
      <w:pPr>
        <w:suppressAutoHyphens w:val="0"/>
        <w:autoSpaceDE w:val="0"/>
        <w:spacing w:before="57" w:after="57"/>
        <w:rPr>
          <w:lang w:val="el-GR"/>
        </w:rPr>
      </w:pPr>
      <w:r w:rsidRPr="00744B70">
        <w:rPr>
          <w:lang w:val="el-GR"/>
        </w:rPr>
        <w:t xml:space="preserve">Ο ανάδοχος υποχρεούται να παραδώσει τα υλικά μέσα στην προθεσμία που αναγράφεται στην τεχνική περιγραφή από την υπογραφή της σύμβασης σε χώρο που θα υποδειχθεί από τον Δήμο Ιθάκης (Αμαξοστάσιο Αγίας Παρασκευής Βαθύ Ιθάκης). Τα έξοδα μεταφοράς και παράδοσης βαρύνουν τον ανάδοχο. </w:t>
      </w:r>
    </w:p>
    <w:p w14:paraId="14C81DB6" w14:textId="77777777" w:rsidR="00744B70" w:rsidRPr="00744B70" w:rsidRDefault="00744B70" w:rsidP="00744B70">
      <w:pPr>
        <w:suppressAutoHyphens w:val="0"/>
        <w:autoSpaceDE w:val="0"/>
        <w:spacing w:before="57" w:after="57"/>
        <w:rPr>
          <w:lang w:val="el-GR"/>
        </w:rPr>
      </w:pPr>
      <w:r w:rsidRPr="00744B70">
        <w:rPr>
          <w:lang w:val="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5C2887FD" w14:textId="77777777" w:rsidR="00744B70" w:rsidRPr="00744B70" w:rsidRDefault="00744B70" w:rsidP="00744B70">
      <w:pPr>
        <w:suppressAutoHyphens w:val="0"/>
        <w:autoSpaceDE w:val="0"/>
        <w:spacing w:before="57" w:after="57"/>
        <w:rPr>
          <w:lang w:val="el-GR"/>
        </w:rPr>
      </w:pPr>
      <w:r w:rsidRPr="00744B70">
        <w:rPr>
          <w:lang w:val="el-GR"/>
        </w:rPr>
        <w:t xml:space="preserve">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w:t>
      </w:r>
    </w:p>
    <w:p w14:paraId="19F5C995" w14:textId="77777777" w:rsidR="00744B70" w:rsidRPr="00744B70" w:rsidRDefault="00744B70" w:rsidP="00744B70">
      <w:pPr>
        <w:suppressAutoHyphens w:val="0"/>
        <w:autoSpaceDE w:val="0"/>
        <w:spacing w:before="57" w:after="57"/>
        <w:rPr>
          <w:lang w:val="el-GR"/>
        </w:rPr>
      </w:pPr>
      <w:r w:rsidRPr="00744B70">
        <w:rPr>
          <w:lang w:val="el-GR"/>
        </w:rPr>
        <w:t xml:space="preserve">H παραλαβή των υλικών γίνεται από επιτροπές που συγκροτούνται σύμφωνα με την παρ. 11 </w:t>
      </w:r>
      <w:proofErr w:type="spellStart"/>
      <w:r w:rsidRPr="00744B70">
        <w:rPr>
          <w:lang w:val="el-GR"/>
        </w:rPr>
        <w:t>εδ</w:t>
      </w:r>
      <w:proofErr w:type="spellEnd"/>
      <w:r w:rsidRPr="00744B70">
        <w:rPr>
          <w:lang w:val="el-GR"/>
        </w:rPr>
        <w:t xml:space="preserve">. β του άρθρου 221 του Ν.4412/16 και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τουλάχιστον με τους ακόλουθους τρόπους: </w:t>
      </w:r>
    </w:p>
    <w:p w14:paraId="05431659" w14:textId="77777777" w:rsidR="00744B70" w:rsidRPr="00744B70" w:rsidRDefault="00744B70" w:rsidP="00744B70">
      <w:pPr>
        <w:suppressAutoHyphens w:val="0"/>
        <w:autoSpaceDE w:val="0"/>
        <w:spacing w:before="57" w:after="57"/>
        <w:rPr>
          <w:lang w:val="el-GR"/>
        </w:rPr>
      </w:pPr>
      <w:r w:rsidRPr="00744B70">
        <w:rPr>
          <w:lang w:val="el-GR"/>
        </w:rPr>
        <w:t>• Έλεγχος νομιμοποιητικών εγγράφων</w:t>
      </w:r>
    </w:p>
    <w:p w14:paraId="79BD172A" w14:textId="77777777" w:rsidR="00744B70" w:rsidRPr="00744B70" w:rsidRDefault="00744B70" w:rsidP="00744B70">
      <w:pPr>
        <w:suppressAutoHyphens w:val="0"/>
        <w:autoSpaceDE w:val="0"/>
        <w:spacing w:before="57" w:after="57"/>
        <w:rPr>
          <w:lang w:val="el-GR"/>
        </w:rPr>
      </w:pPr>
      <w:r w:rsidRPr="00744B70">
        <w:rPr>
          <w:lang w:val="el-GR"/>
        </w:rPr>
        <w:t xml:space="preserve"> • Μακροσκοπικός έλεγχος </w:t>
      </w:r>
    </w:p>
    <w:p w14:paraId="662EA75B" w14:textId="77777777" w:rsidR="00744B70" w:rsidRPr="00744B70" w:rsidRDefault="00744B70" w:rsidP="00744B70">
      <w:pPr>
        <w:suppressAutoHyphens w:val="0"/>
        <w:autoSpaceDE w:val="0"/>
        <w:spacing w:before="57" w:after="57"/>
        <w:rPr>
          <w:lang w:val="el-GR"/>
        </w:rPr>
      </w:pPr>
      <w:r w:rsidRPr="00744B70">
        <w:rPr>
          <w:lang w:val="el-GR"/>
        </w:rPr>
        <w:t xml:space="preserve">• Μηχανική εξέταση </w:t>
      </w:r>
    </w:p>
    <w:p w14:paraId="26D74D10" w14:textId="77777777" w:rsidR="00744B70" w:rsidRPr="00744B70" w:rsidRDefault="00744B70" w:rsidP="00744B70">
      <w:pPr>
        <w:suppressAutoHyphens w:val="0"/>
        <w:autoSpaceDE w:val="0"/>
        <w:spacing w:before="57" w:after="57"/>
        <w:rPr>
          <w:lang w:val="el-GR"/>
        </w:rPr>
      </w:pPr>
      <w:r w:rsidRPr="00744B70">
        <w:rPr>
          <w:lang w:val="el-GR"/>
        </w:rPr>
        <w:t xml:space="preserve">• Πρακτική δοκιμασία </w:t>
      </w:r>
    </w:p>
    <w:p w14:paraId="2CB43415" w14:textId="77777777" w:rsidR="00744B70" w:rsidRPr="00744B70" w:rsidRDefault="00744B70" w:rsidP="00744B70">
      <w:pPr>
        <w:suppressAutoHyphens w:val="0"/>
        <w:autoSpaceDE w:val="0"/>
        <w:spacing w:before="57" w:after="57"/>
        <w:rPr>
          <w:lang w:val="el-GR"/>
        </w:rPr>
      </w:pPr>
      <w:r w:rsidRPr="00744B70">
        <w:rPr>
          <w:lang w:val="el-GR"/>
        </w:rPr>
        <w:t xml:space="preserve">• Κάθε άλλος τρόπος που θεωρηθεί αναγκαίος κατά τη διάρκεια της παραλαβής </w:t>
      </w:r>
    </w:p>
    <w:p w14:paraId="183ED83B" w14:textId="77777777" w:rsidR="00744B70" w:rsidRPr="00744B70" w:rsidRDefault="00744B70" w:rsidP="00744B70">
      <w:pPr>
        <w:suppressAutoHyphens w:val="0"/>
        <w:autoSpaceDE w:val="0"/>
        <w:spacing w:before="57" w:after="57"/>
        <w:rPr>
          <w:lang w:val="el-GR"/>
        </w:rPr>
      </w:pPr>
      <w:r w:rsidRPr="00744B70">
        <w:rPr>
          <w:lang w:val="el-GR"/>
        </w:rPr>
        <w:t xml:space="preserve">• Σημειώνεται ότι για την οριστική παραλαβή του κάθε οχήματος είναι αναγκαία η προσκόμιση όλων τα απαραίτητα έγγραφα &amp; δικαιολογητικά προκειμένου να εκδοθεί απρόσκοπτα η νόμιμη άδεια κυκλοφορίας του οχήματος στην Ελλάδα από το Φορέα. Ο Δήμος Ιθάκης υποχρεούται να συνεργαστεί με τον εκάστοτε ανάδοχο για την έκδοση των απαραίτητων εγγράφων. </w:t>
      </w:r>
    </w:p>
    <w:p w14:paraId="3DFA17AA" w14:textId="77777777" w:rsidR="00744B70" w:rsidRPr="00744B70" w:rsidRDefault="00744B70" w:rsidP="00744B70">
      <w:pPr>
        <w:suppressAutoHyphens w:val="0"/>
        <w:autoSpaceDE w:val="0"/>
        <w:spacing w:before="57" w:after="57"/>
        <w:rPr>
          <w:lang w:val="el-GR"/>
        </w:rPr>
      </w:pPr>
      <w:r w:rsidRPr="00744B70">
        <w:rPr>
          <w:lang w:val="el-GR"/>
        </w:rPr>
        <w:t>Το κόστος της διενέργειας των ελέγχων βαρύνει τον ανάδοχο.</w:t>
      </w:r>
    </w:p>
    <w:p w14:paraId="3E6AB27E" w14:textId="77777777" w:rsidR="00744B70" w:rsidRPr="00744B70" w:rsidRDefault="00744B70" w:rsidP="00744B70">
      <w:pPr>
        <w:suppressAutoHyphens w:val="0"/>
        <w:autoSpaceDE w:val="0"/>
        <w:spacing w:before="57" w:after="57"/>
        <w:rPr>
          <w:lang w:val="el-GR"/>
        </w:rPr>
      </w:pPr>
      <w:r w:rsidRPr="00744B70">
        <w:rPr>
          <w:lang w:val="el-GR"/>
        </w:rPr>
        <w:t xml:space="preserve"> </w:t>
      </w:r>
    </w:p>
    <w:p w14:paraId="1E4E6E88" w14:textId="77777777" w:rsidR="00744B70" w:rsidRPr="00744B70" w:rsidRDefault="00744B70" w:rsidP="00744B70">
      <w:pPr>
        <w:suppressAutoHyphens w:val="0"/>
        <w:autoSpaceDE w:val="0"/>
        <w:spacing w:before="57" w:after="57"/>
        <w:rPr>
          <w:lang w:val="el-GR"/>
        </w:rPr>
      </w:pPr>
      <w:r w:rsidRPr="00744B70">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 τα οποία κοινοποιούνται στον ανάδοχο.</w:t>
      </w:r>
    </w:p>
    <w:p w14:paraId="41F31A51" w14:textId="77777777" w:rsidR="00744B70" w:rsidRPr="00744B70" w:rsidRDefault="00744B70" w:rsidP="00744B70">
      <w:pPr>
        <w:suppressAutoHyphens w:val="0"/>
        <w:autoSpaceDE w:val="0"/>
        <w:spacing w:before="57" w:after="57"/>
        <w:rPr>
          <w:lang w:val="el-GR"/>
        </w:rPr>
      </w:pPr>
      <w:r w:rsidRPr="00744B70">
        <w:rPr>
          <w:lang w:val="el-GR"/>
        </w:rPr>
        <w:t xml:space="preserve"> Σύμφωνα με την 10η απόφαση Δημοτικού Συμβουλίου Ιθάκης 03/02/2023 ΑΔΑ: ΨΘΕΜΩΕΟ-ΦΒ9, η επιτροπή παρακολούθησης &amp; παραλαβής Προμηθειών της Υπηρεσίας Καθαριότητας έχει ως ακολούθως:</w:t>
      </w:r>
    </w:p>
    <w:p w14:paraId="26457722" w14:textId="77777777" w:rsidR="00744B70" w:rsidRPr="00744B70" w:rsidRDefault="00744B70" w:rsidP="00744B70">
      <w:pPr>
        <w:suppressAutoHyphens w:val="0"/>
        <w:autoSpaceDE w:val="0"/>
        <w:spacing w:before="57" w:after="57"/>
        <w:rPr>
          <w:lang w:val="el-GR"/>
        </w:rPr>
      </w:pPr>
    </w:p>
    <w:p w14:paraId="51F827CC" w14:textId="77777777" w:rsidR="00744B70" w:rsidRPr="00744B70" w:rsidRDefault="00744B70" w:rsidP="00744B70">
      <w:pPr>
        <w:suppressAutoHyphens w:val="0"/>
        <w:autoSpaceDE w:val="0"/>
        <w:spacing w:before="57" w:after="57"/>
        <w:rPr>
          <w:lang w:val="el-GR"/>
        </w:rPr>
      </w:pPr>
      <w:r w:rsidRPr="00744B70">
        <w:rPr>
          <w:lang w:val="el-GR"/>
        </w:rPr>
        <w:t xml:space="preserve">       ΤΑΚΤΙΚΑ ΜΕΛΗ                                            ΑΝΑΠΛΗΡΩΜΑΤΙΚΑ ΜΕΛΗ</w:t>
      </w:r>
    </w:p>
    <w:p w14:paraId="381B8BC9" w14:textId="77777777" w:rsidR="00744B70" w:rsidRPr="00744B70" w:rsidRDefault="00744B70" w:rsidP="00744B70">
      <w:pPr>
        <w:suppressAutoHyphens w:val="0"/>
        <w:autoSpaceDE w:val="0"/>
        <w:spacing w:before="57" w:after="57"/>
        <w:rPr>
          <w:lang w:val="el-GR"/>
        </w:rPr>
      </w:pPr>
      <w:r w:rsidRPr="00744B70">
        <w:rPr>
          <w:lang w:val="el-GR"/>
        </w:rPr>
        <w:t xml:space="preserve">                                             Υπηρεσία Καθαριότητας </w:t>
      </w:r>
    </w:p>
    <w:p w14:paraId="13CE6D39" w14:textId="77777777" w:rsidR="00744B70" w:rsidRPr="00744B70" w:rsidRDefault="00744B70" w:rsidP="00744B70">
      <w:pPr>
        <w:suppressAutoHyphens w:val="0"/>
        <w:autoSpaceDE w:val="0"/>
        <w:spacing w:before="57" w:after="57"/>
        <w:rPr>
          <w:lang w:val="el-GR"/>
        </w:rPr>
      </w:pPr>
      <w:r w:rsidRPr="00744B70">
        <w:rPr>
          <w:lang w:val="el-GR"/>
        </w:rPr>
        <w:t xml:space="preserve">Υπάλληλος : </w:t>
      </w:r>
      <w:proofErr w:type="spellStart"/>
      <w:r w:rsidRPr="00744B70">
        <w:rPr>
          <w:lang w:val="el-GR"/>
        </w:rPr>
        <w:t>Λομβάρδος</w:t>
      </w:r>
      <w:proofErr w:type="spellEnd"/>
      <w:r w:rsidRPr="00744B70">
        <w:rPr>
          <w:lang w:val="el-GR"/>
        </w:rPr>
        <w:t xml:space="preserve"> Γεράσιμος ΔΕ ΟΔΗΓΩΝ (ΠΡΟΕΔΡΟΣ)              Υπάλληλος : </w:t>
      </w:r>
      <w:proofErr w:type="spellStart"/>
      <w:r w:rsidRPr="00744B70">
        <w:rPr>
          <w:lang w:val="el-GR"/>
        </w:rPr>
        <w:t>Μπουραντάνης</w:t>
      </w:r>
      <w:proofErr w:type="spellEnd"/>
      <w:r w:rsidRPr="00744B70">
        <w:rPr>
          <w:lang w:val="el-GR"/>
        </w:rPr>
        <w:t xml:space="preserve"> Γεώργιος ΥΕ ΕΡΓΑΤΩΝ</w:t>
      </w:r>
    </w:p>
    <w:p w14:paraId="7140D6F5" w14:textId="77777777" w:rsidR="00744B70" w:rsidRPr="00744B70" w:rsidRDefault="00744B70" w:rsidP="00744B70">
      <w:pPr>
        <w:suppressAutoHyphens w:val="0"/>
        <w:autoSpaceDE w:val="0"/>
        <w:spacing w:before="57" w:after="57"/>
        <w:rPr>
          <w:lang w:val="el-GR"/>
        </w:rPr>
      </w:pPr>
      <w:r w:rsidRPr="00744B70">
        <w:rPr>
          <w:lang w:val="el-GR"/>
        </w:rPr>
        <w:t xml:space="preserve">Υπάλληλος : </w:t>
      </w:r>
      <w:proofErr w:type="spellStart"/>
      <w:r w:rsidRPr="00744B70">
        <w:rPr>
          <w:lang w:val="el-GR"/>
        </w:rPr>
        <w:t>Τρομπούκης</w:t>
      </w:r>
      <w:proofErr w:type="spellEnd"/>
      <w:r w:rsidRPr="00744B70">
        <w:rPr>
          <w:lang w:val="el-GR"/>
        </w:rPr>
        <w:t xml:space="preserve"> Δημήτριος ΔΕ ΟΔΗΓΩΝ (ΑΝΤΙΠ/ΔΟΣ)            Υπάλληλος : </w:t>
      </w:r>
      <w:proofErr w:type="spellStart"/>
      <w:r w:rsidRPr="00744B70">
        <w:rPr>
          <w:lang w:val="el-GR"/>
        </w:rPr>
        <w:t>Ραυτόπουλος</w:t>
      </w:r>
      <w:proofErr w:type="spellEnd"/>
      <w:r w:rsidRPr="00744B70">
        <w:rPr>
          <w:lang w:val="el-GR"/>
        </w:rPr>
        <w:t xml:space="preserve"> Ιωάννης ΥΕ ΕΡΓΑΤΩΝ</w:t>
      </w:r>
    </w:p>
    <w:p w14:paraId="4CD8F62E" w14:textId="0D67C5DF" w:rsidR="00744B70" w:rsidRPr="00744B70" w:rsidRDefault="00744B70" w:rsidP="00744B70">
      <w:pPr>
        <w:suppressAutoHyphens w:val="0"/>
        <w:autoSpaceDE w:val="0"/>
        <w:spacing w:before="57" w:after="57"/>
        <w:rPr>
          <w:lang w:val="el-GR"/>
        </w:rPr>
      </w:pPr>
      <w:r w:rsidRPr="00744B70">
        <w:rPr>
          <w:lang w:val="el-GR"/>
        </w:rPr>
        <w:t xml:space="preserve">Υπάλληλος : </w:t>
      </w:r>
      <w:proofErr w:type="spellStart"/>
      <w:r w:rsidRPr="00744B70">
        <w:rPr>
          <w:lang w:val="el-GR"/>
        </w:rPr>
        <w:t>Πίππος</w:t>
      </w:r>
      <w:proofErr w:type="spellEnd"/>
      <w:r w:rsidRPr="00744B70">
        <w:rPr>
          <w:lang w:val="el-GR"/>
        </w:rPr>
        <w:t xml:space="preserve"> Κων/νος ΔΕ ΟΔΗΓΩΝ                                                  Υπάλληλος : Κουλουμπής Νικόλαος ΥΕ ΕΡΓΑΤΩΝ</w:t>
      </w:r>
    </w:p>
    <w:p w14:paraId="3A6916C8" w14:textId="77777777" w:rsidR="00744B70" w:rsidRPr="00744B70" w:rsidRDefault="00744B70" w:rsidP="00744B70">
      <w:pPr>
        <w:suppressAutoHyphens w:val="0"/>
        <w:autoSpaceDE w:val="0"/>
        <w:spacing w:before="57" w:after="57"/>
        <w:rPr>
          <w:lang w:val="el-GR"/>
        </w:rPr>
      </w:pPr>
    </w:p>
    <w:p w14:paraId="6C9BC8DA" w14:textId="77777777" w:rsidR="00744B70" w:rsidRPr="00744B70" w:rsidRDefault="00744B70" w:rsidP="00744B70">
      <w:pPr>
        <w:suppressAutoHyphens w:val="0"/>
        <w:autoSpaceDE w:val="0"/>
        <w:spacing w:before="57" w:after="57"/>
        <w:rPr>
          <w:lang w:val="el-GR"/>
        </w:rPr>
      </w:pPr>
      <w:r w:rsidRPr="00744B70">
        <w:rPr>
          <w:lang w:val="el-GR"/>
        </w:rPr>
        <w:t>Άρθρο 9ο :    Απόρριψη συμβατικών υλικών-Αντικατάσταση</w:t>
      </w:r>
    </w:p>
    <w:p w14:paraId="2F753700" w14:textId="77777777" w:rsidR="00744B70" w:rsidRPr="00744B70" w:rsidRDefault="00744B70" w:rsidP="00744B70">
      <w:pPr>
        <w:suppressAutoHyphens w:val="0"/>
        <w:autoSpaceDE w:val="0"/>
        <w:spacing w:before="57" w:after="57"/>
        <w:rPr>
          <w:lang w:val="el-GR"/>
        </w:rPr>
      </w:pPr>
      <w:r w:rsidRPr="00744B70">
        <w:rPr>
          <w:lang w:val="el-GR"/>
        </w:rPr>
        <w:lastRenderedPageBreak/>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14:paraId="3ECBD2BE" w14:textId="77777777" w:rsidR="00744B70" w:rsidRPr="00744B70" w:rsidRDefault="00744B70" w:rsidP="00744B70">
      <w:pPr>
        <w:suppressAutoHyphens w:val="0"/>
        <w:autoSpaceDE w:val="0"/>
        <w:spacing w:before="57" w:after="57"/>
        <w:rPr>
          <w:lang w:val="el-GR"/>
        </w:rPr>
      </w:pPr>
      <w:r w:rsidRPr="00744B70">
        <w:rPr>
          <w:lang w:val="el-GR"/>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w:t>
      </w:r>
    </w:p>
    <w:p w14:paraId="2C609166" w14:textId="77777777" w:rsidR="00744B70" w:rsidRPr="00744B70" w:rsidRDefault="00744B70" w:rsidP="00744B70">
      <w:pPr>
        <w:suppressAutoHyphens w:val="0"/>
        <w:autoSpaceDE w:val="0"/>
        <w:spacing w:before="57" w:after="57"/>
        <w:rPr>
          <w:lang w:val="el-GR"/>
        </w:rPr>
      </w:pPr>
      <w:r w:rsidRPr="00744B70">
        <w:rPr>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5C2804E4" w14:textId="340492FD" w:rsidR="00744B70" w:rsidRPr="00744B70" w:rsidRDefault="00744B70" w:rsidP="00744B70">
      <w:pPr>
        <w:suppressAutoHyphens w:val="0"/>
        <w:autoSpaceDE w:val="0"/>
        <w:spacing w:before="57" w:after="57"/>
        <w:rPr>
          <w:lang w:val="el-GR"/>
        </w:rPr>
      </w:pPr>
      <w:r w:rsidRPr="00744B70">
        <w:rPr>
          <w:lang w:val="el-GR"/>
        </w:rPr>
        <w:t xml:space="preserve"> Η επιστροφή των υλικών που απορρίφθηκαν γίνεται σύμφωνα με τα προβλεπόμενα στις παρ. 2 και 3 του άρθρου 213 του ν. 4412/2016.</w:t>
      </w:r>
    </w:p>
    <w:p w14:paraId="065092BF" w14:textId="77777777" w:rsidR="00744B70" w:rsidRPr="00744B70" w:rsidRDefault="00744B70" w:rsidP="00744B70">
      <w:pPr>
        <w:suppressAutoHyphens w:val="0"/>
        <w:autoSpaceDE w:val="0"/>
        <w:spacing w:before="57" w:after="57"/>
        <w:rPr>
          <w:lang w:val="el-GR"/>
        </w:rPr>
      </w:pPr>
    </w:p>
    <w:p w14:paraId="5C1A5CC9" w14:textId="77777777" w:rsidR="00744B70" w:rsidRPr="00744B70" w:rsidRDefault="00744B70" w:rsidP="00744B70">
      <w:pPr>
        <w:suppressAutoHyphens w:val="0"/>
        <w:autoSpaceDE w:val="0"/>
        <w:spacing w:before="57" w:after="57"/>
        <w:rPr>
          <w:lang w:val="el-GR"/>
        </w:rPr>
      </w:pPr>
      <w:r w:rsidRPr="00744B70">
        <w:rPr>
          <w:lang w:val="el-GR"/>
        </w:rPr>
        <w:t>Άρθρο 10ο :     Εγγύηση καλής λειτουργίας</w:t>
      </w:r>
    </w:p>
    <w:p w14:paraId="7A667C15" w14:textId="77777777" w:rsidR="00744B70" w:rsidRPr="00744B70" w:rsidRDefault="00744B70" w:rsidP="00744B70">
      <w:pPr>
        <w:suppressAutoHyphens w:val="0"/>
        <w:autoSpaceDE w:val="0"/>
        <w:spacing w:before="57" w:after="57"/>
        <w:rPr>
          <w:lang w:val="el-GR"/>
        </w:rPr>
      </w:pPr>
      <w:r w:rsidRPr="00744B70">
        <w:rPr>
          <w:lang w:val="el-GR"/>
        </w:rPr>
        <w:t xml:space="preserve">Ο χρόνος εγγύησης μετρούμενος από της ημερομηνίας της προσωρινής παραλαβής αυτού, καθορίζεται από τον προσφέροντα και δεν μπορεί να είναι μικρότερος από ένα (1) έτος (αν δεν αναφέρεται στην προσφορά του προμηθευτή τότε αυτή απορρίπτεται ως απαράδεκτη). </w:t>
      </w:r>
    </w:p>
    <w:p w14:paraId="28B632C2" w14:textId="27B135AB" w:rsidR="00744B70" w:rsidRPr="00744B70" w:rsidRDefault="00744B70" w:rsidP="00744B70">
      <w:pPr>
        <w:suppressAutoHyphens w:val="0"/>
        <w:autoSpaceDE w:val="0"/>
        <w:spacing w:before="57" w:after="57"/>
        <w:rPr>
          <w:lang w:val="el-GR"/>
        </w:rPr>
      </w:pPr>
      <w:r w:rsidRPr="00744B70">
        <w:rPr>
          <w:lang w:val="el-GR"/>
        </w:rPr>
        <w:t xml:space="preserve">Κατά το χρόνο αυτό ο προμηθευτής υποχρεούται να επισκευάζει ή αντικαθιστά τα τμήματα του εξοπλισμού που θα παρουσιάσουν βλάβη ή φθορά εκτός αν αυτά θεωρούνται αναλώσιμα (π.χ. φίλτρα, λαμπτήρες, </w:t>
      </w:r>
      <w:proofErr w:type="spellStart"/>
      <w:r w:rsidRPr="00744B70">
        <w:rPr>
          <w:lang w:val="el-GR"/>
        </w:rPr>
        <w:t>κ.λ.π</w:t>
      </w:r>
      <w:proofErr w:type="spellEnd"/>
      <w:r w:rsidRPr="00744B70">
        <w:rPr>
          <w:lang w:val="el-GR"/>
        </w:rPr>
        <w:t xml:space="preserve">.) ή αν η βλάβη οφείλεται σε κακό χειρισμό ή ακραίους εξωγενείς παράγοντες. </w:t>
      </w:r>
    </w:p>
    <w:p w14:paraId="70C5F6B1" w14:textId="77777777" w:rsidR="00744B70" w:rsidRPr="00744B70" w:rsidRDefault="00744B70" w:rsidP="00744B70">
      <w:pPr>
        <w:suppressAutoHyphens w:val="0"/>
        <w:autoSpaceDE w:val="0"/>
        <w:spacing w:before="57" w:after="57"/>
        <w:rPr>
          <w:lang w:val="el-GR"/>
        </w:rPr>
      </w:pPr>
    </w:p>
    <w:p w14:paraId="7595E9AC" w14:textId="77777777" w:rsidR="00744B70" w:rsidRPr="00744B70" w:rsidRDefault="00744B70" w:rsidP="00744B70">
      <w:pPr>
        <w:suppressAutoHyphens w:val="0"/>
        <w:autoSpaceDE w:val="0"/>
        <w:spacing w:before="57" w:after="57"/>
        <w:rPr>
          <w:lang w:val="el-GR"/>
        </w:rPr>
      </w:pPr>
      <w:r w:rsidRPr="00744B70">
        <w:rPr>
          <w:lang w:val="el-GR"/>
        </w:rPr>
        <w:t>Άρθρο 11 :   Τρόπος πληρωμής-φόροι-τέλη-κρατήσεις</w:t>
      </w:r>
    </w:p>
    <w:p w14:paraId="1332519D" w14:textId="77777777" w:rsidR="00744B70" w:rsidRPr="00744B70" w:rsidRDefault="00744B70" w:rsidP="00744B70">
      <w:pPr>
        <w:suppressAutoHyphens w:val="0"/>
        <w:autoSpaceDE w:val="0"/>
        <w:spacing w:before="57" w:after="57"/>
        <w:rPr>
          <w:lang w:val="el-GR"/>
        </w:rPr>
      </w:pPr>
      <w:r w:rsidRPr="00744B70">
        <w:rPr>
          <w:lang w:val="el-GR"/>
        </w:rPr>
        <w:t>Η πληρωμή της αξίας των υλικών, θα γίνει μετά τη διενέργεια της προσωρινής και οριστικής παραλαβής, με την έκδοση εξοφλητικού λογαριασμού (τιμολόγιο) και την κατάθεση όλων των απαραίτητων δικαιολογητικών στην Οικονομική Υπηρεσία του Δήμου Ιθάκης.</w:t>
      </w:r>
    </w:p>
    <w:p w14:paraId="6479952E" w14:textId="64093E2D" w:rsidR="00744B70" w:rsidRPr="00744B70" w:rsidRDefault="00744B70" w:rsidP="00744B70">
      <w:pPr>
        <w:suppressAutoHyphens w:val="0"/>
        <w:autoSpaceDE w:val="0"/>
        <w:spacing w:before="57" w:after="57"/>
        <w:rPr>
          <w:lang w:val="el-GR"/>
        </w:rPr>
      </w:pPr>
      <w:r w:rsidRPr="00744B70">
        <w:rPr>
          <w:lang w:val="el-GR"/>
        </w:rPr>
        <w:t xml:space="preserve"> Ο Ανάδοχος, σύμφωνα με τις ισχύουσες διατάξεις, βαρύνεται με όλους τους φόρους, τέλη και κρατήσεις που ισχύουν κατά την ημέρα εξόφλησης της σύμβασης εκτός του Φ.Π.Α.</w:t>
      </w:r>
    </w:p>
    <w:p w14:paraId="275CE1E0" w14:textId="77777777" w:rsidR="00744B70" w:rsidRPr="00744B70" w:rsidRDefault="00744B70" w:rsidP="00744B70">
      <w:pPr>
        <w:suppressAutoHyphens w:val="0"/>
        <w:autoSpaceDE w:val="0"/>
        <w:spacing w:before="57" w:after="57"/>
        <w:rPr>
          <w:lang w:val="el-GR"/>
        </w:rPr>
      </w:pPr>
      <w:r w:rsidRPr="00744B70">
        <w:rPr>
          <w:lang w:val="el-GR"/>
        </w:rPr>
        <w:t>Άρθρο 12 :   Αναπροσαρμογή τιμής</w:t>
      </w:r>
    </w:p>
    <w:p w14:paraId="05BA90CB" w14:textId="264AA467" w:rsidR="00744B70" w:rsidRPr="00744B70" w:rsidRDefault="00744B70" w:rsidP="00744B70">
      <w:pPr>
        <w:suppressAutoHyphens w:val="0"/>
        <w:autoSpaceDE w:val="0"/>
        <w:spacing w:before="57" w:after="57"/>
        <w:rPr>
          <w:lang w:val="el-GR"/>
        </w:rPr>
      </w:pPr>
      <w:r w:rsidRPr="00744B70">
        <w:rPr>
          <w:lang w:val="el-GR"/>
        </w:rPr>
        <w:t>Δεν προβλέπεται αναπροσαρμογή της συμβατική αξίας των υπό προμήθεια υλικών.</w:t>
      </w:r>
    </w:p>
    <w:p w14:paraId="6151718B" w14:textId="77777777" w:rsidR="00744B70" w:rsidRPr="00744B70" w:rsidRDefault="00744B70" w:rsidP="00744B70">
      <w:pPr>
        <w:suppressAutoHyphens w:val="0"/>
        <w:autoSpaceDE w:val="0"/>
        <w:spacing w:before="57" w:after="57"/>
        <w:rPr>
          <w:lang w:val="el-GR"/>
        </w:rPr>
      </w:pPr>
    </w:p>
    <w:p w14:paraId="0C7DCB60" w14:textId="77777777" w:rsidR="00744B70" w:rsidRPr="00744B70" w:rsidRDefault="00744B70" w:rsidP="00744B70">
      <w:pPr>
        <w:suppressAutoHyphens w:val="0"/>
        <w:autoSpaceDE w:val="0"/>
        <w:spacing w:before="57" w:after="57"/>
        <w:rPr>
          <w:lang w:val="el-GR"/>
        </w:rPr>
      </w:pPr>
      <w:r w:rsidRPr="00744B70">
        <w:rPr>
          <w:lang w:val="el-GR"/>
        </w:rPr>
        <w:t>Άρθρο 13ο :   Ανταλλακτικά</w:t>
      </w:r>
    </w:p>
    <w:p w14:paraId="1BE500BE" w14:textId="50EFC83D" w:rsidR="003929DA" w:rsidRDefault="00744B70" w:rsidP="00744B70">
      <w:pPr>
        <w:suppressAutoHyphens w:val="0"/>
        <w:autoSpaceDE w:val="0"/>
        <w:spacing w:before="57" w:after="57"/>
        <w:rPr>
          <w:lang w:val="el-GR"/>
        </w:rPr>
      </w:pPr>
      <w:r w:rsidRPr="00744B70">
        <w:rPr>
          <w:lang w:val="el-GR"/>
        </w:rPr>
        <w:t>Ο προμηθευτής είναι υποχρεωμένος να διαθέτει απόθεμα ανταλλακτικών για την κάλυψη των συνήθων απαιτήσεων του οχήματος – μηχανήματος για χρονική διάρκεια τουλάχιστον 10 ετών.</w:t>
      </w:r>
    </w:p>
    <w:p w14:paraId="2ADFCCD2" w14:textId="77777777" w:rsidR="00744B70" w:rsidRDefault="00744B70" w:rsidP="00744B70">
      <w:pPr>
        <w:suppressAutoHyphens w:val="0"/>
        <w:autoSpaceDE w:val="0"/>
        <w:spacing w:before="57" w:after="57"/>
        <w:rPr>
          <w:lang w:val="el-GR"/>
        </w:rPr>
      </w:pPr>
    </w:p>
    <w:p w14:paraId="197A84E2" w14:textId="70A1394D" w:rsidR="003929DA" w:rsidRDefault="003929DA">
      <w:pPr>
        <w:pStyle w:val="2"/>
        <w:tabs>
          <w:tab w:val="clear" w:pos="567"/>
          <w:tab w:val="left" w:pos="0"/>
        </w:tabs>
        <w:spacing w:before="57" w:after="57"/>
        <w:ind w:left="0" w:firstLine="0"/>
        <w:rPr>
          <w:lang w:val="el-GR"/>
        </w:rPr>
      </w:pPr>
      <w:bookmarkStart w:id="76" w:name="_Toc129004468"/>
      <w:r>
        <w:rPr>
          <w:lang w:val="el-GR"/>
        </w:rPr>
        <w:t xml:space="preserve">ΠΑΡΑΡΤΗΜΑ </w:t>
      </w:r>
      <w:r w:rsidR="00ED1C0D">
        <w:rPr>
          <w:lang w:val="el-GR"/>
        </w:rPr>
        <w:t>ΙΙΙ</w:t>
      </w:r>
      <w:r>
        <w:rPr>
          <w:lang w:val="el-GR"/>
        </w:rPr>
        <w:t xml:space="preserve"> – </w:t>
      </w:r>
      <w:bookmarkEnd w:id="76"/>
      <w:r w:rsidR="00744B70">
        <w:rPr>
          <w:lang w:val="el-GR"/>
        </w:rPr>
        <w:t>ΦΥΛΛΟ ΣΥΜΜΟΡΦΩΣΗΣ</w:t>
      </w:r>
    </w:p>
    <w:p w14:paraId="5D5F916E" w14:textId="77777777" w:rsidR="00744B70" w:rsidRDefault="00744B70" w:rsidP="00744B70">
      <w:pPr>
        <w:rPr>
          <w:lang w:val="el-GR"/>
        </w:rPr>
      </w:pPr>
    </w:p>
    <w:p w14:paraId="33767993" w14:textId="77777777" w:rsidR="00744B70" w:rsidRPr="00744B70" w:rsidRDefault="00744B70" w:rsidP="00744B70">
      <w:pPr>
        <w:suppressAutoHyphens w:val="0"/>
        <w:spacing w:after="0" w:line="259" w:lineRule="auto"/>
        <w:ind w:left="360"/>
        <w:rPr>
          <w:b/>
          <w:sz w:val="24"/>
          <w:lang w:val="el-GR" w:eastAsia="el-GR"/>
        </w:rPr>
      </w:pPr>
      <w:r w:rsidRPr="00744B70">
        <w:rPr>
          <w:sz w:val="24"/>
          <w:lang w:val="el-GR" w:eastAsia="el-GR"/>
        </w:rPr>
        <w:t xml:space="preserve">                                                  </w:t>
      </w:r>
      <w:r w:rsidRPr="00744B70">
        <w:rPr>
          <w:b/>
          <w:sz w:val="24"/>
          <w:lang w:val="el-GR" w:eastAsia="el-GR"/>
        </w:rPr>
        <w:t xml:space="preserve">ΦΥΛΛΟ  ΣΥΜΜΟΡΦΩΣΗΣ </w:t>
      </w:r>
    </w:p>
    <w:p w14:paraId="6322C348" w14:textId="77777777" w:rsidR="00744B70" w:rsidRPr="00744B70" w:rsidRDefault="00744B70" w:rsidP="00744B70">
      <w:pPr>
        <w:suppressAutoHyphens w:val="0"/>
        <w:spacing w:after="0" w:line="259" w:lineRule="auto"/>
        <w:ind w:left="360"/>
        <w:rPr>
          <w:sz w:val="24"/>
          <w:lang w:val="el-GR" w:eastAsia="el-GR"/>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4184"/>
        <w:gridCol w:w="1701"/>
        <w:gridCol w:w="1490"/>
        <w:gridCol w:w="1702"/>
      </w:tblGrid>
      <w:tr w:rsidR="00744B70" w:rsidRPr="00744B70" w14:paraId="2946D71D" w14:textId="77777777" w:rsidTr="0075659A">
        <w:trPr>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AA9AEA" w14:textId="77777777" w:rsidR="00744B70" w:rsidRPr="00744B70" w:rsidRDefault="00744B70" w:rsidP="00744B70">
            <w:pPr>
              <w:suppressAutoHyphens w:val="0"/>
              <w:spacing w:after="0"/>
              <w:contextualSpacing/>
              <w:jc w:val="center"/>
              <w:rPr>
                <w:b/>
                <w:sz w:val="24"/>
                <w:lang w:val="el-GR" w:eastAsia="el-GR"/>
              </w:rPr>
            </w:pPr>
            <w:r w:rsidRPr="00744B70">
              <w:rPr>
                <w:b/>
                <w:sz w:val="24"/>
                <w:lang w:val="el-GR" w:eastAsia="el-GR"/>
              </w:rPr>
              <w:t>Α/Α</w:t>
            </w:r>
          </w:p>
        </w:tc>
        <w:tc>
          <w:tcPr>
            <w:tcW w:w="418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05E336" w14:textId="77777777" w:rsidR="00744B70" w:rsidRPr="00744B70" w:rsidRDefault="00744B70" w:rsidP="00744B70">
            <w:pPr>
              <w:suppressAutoHyphens w:val="0"/>
              <w:spacing w:after="0"/>
              <w:jc w:val="center"/>
              <w:rPr>
                <w:b/>
                <w:sz w:val="24"/>
                <w:lang w:val="el-GR" w:eastAsia="el-GR"/>
              </w:rPr>
            </w:pPr>
            <w:r w:rsidRPr="00744B70">
              <w:rPr>
                <w:b/>
                <w:sz w:val="24"/>
                <w:lang w:val="el-GR" w:eastAsia="el-GR"/>
              </w:rPr>
              <w:t>ΠΕΡΙΓΡΑΦΗ</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7EA9783" w14:textId="77777777" w:rsidR="00744B70" w:rsidRPr="00744B70" w:rsidRDefault="00744B70" w:rsidP="00744B70">
            <w:pPr>
              <w:suppressAutoHyphens w:val="0"/>
              <w:spacing w:after="0"/>
              <w:jc w:val="center"/>
              <w:rPr>
                <w:b/>
                <w:sz w:val="24"/>
                <w:lang w:val="el-GR" w:eastAsia="el-GR"/>
              </w:rPr>
            </w:pPr>
            <w:r w:rsidRPr="00744B70">
              <w:rPr>
                <w:b/>
                <w:sz w:val="24"/>
                <w:lang w:val="el-GR" w:eastAsia="el-GR"/>
              </w:rPr>
              <w:t>ΑΠΑΙΤΗΣΗ</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C35109" w14:textId="77777777" w:rsidR="00744B70" w:rsidRPr="00744B70" w:rsidRDefault="00744B70" w:rsidP="00744B70">
            <w:pPr>
              <w:suppressAutoHyphens w:val="0"/>
              <w:spacing w:after="0"/>
              <w:jc w:val="center"/>
              <w:rPr>
                <w:b/>
                <w:sz w:val="24"/>
                <w:lang w:val="el-GR" w:eastAsia="el-GR"/>
              </w:rPr>
            </w:pPr>
            <w:r w:rsidRPr="00744B70">
              <w:rPr>
                <w:b/>
                <w:sz w:val="24"/>
                <w:lang w:val="el-GR" w:eastAsia="el-GR"/>
              </w:rPr>
              <w:t>ΑΠΑΝΤΗΣΗ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0894F3" w14:textId="77777777" w:rsidR="00744B70" w:rsidRPr="00744B70" w:rsidRDefault="00744B70" w:rsidP="00744B70">
            <w:pPr>
              <w:suppressAutoHyphens w:val="0"/>
              <w:spacing w:after="0"/>
              <w:jc w:val="center"/>
              <w:rPr>
                <w:b/>
                <w:sz w:val="24"/>
                <w:lang w:val="el-GR" w:eastAsia="el-GR"/>
              </w:rPr>
            </w:pPr>
            <w:r w:rsidRPr="00744B70">
              <w:rPr>
                <w:b/>
                <w:sz w:val="24"/>
                <w:lang w:val="el-GR" w:eastAsia="el-GR"/>
              </w:rPr>
              <w:t>ΠΑΡΑΤΗΡΗΣΕΙΣ / ΠΑΡΑΠΟΜΠΗ</w:t>
            </w:r>
          </w:p>
        </w:tc>
      </w:tr>
      <w:tr w:rsidR="00744B70" w:rsidRPr="00744B70" w14:paraId="4339563B"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1DB74D27"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1C178DF0" w14:textId="77777777" w:rsidR="00744B70" w:rsidRPr="00744B70" w:rsidRDefault="00744B70" w:rsidP="00744B70">
            <w:pPr>
              <w:suppressAutoHyphens w:val="0"/>
              <w:spacing w:after="0"/>
              <w:jc w:val="left"/>
              <w:rPr>
                <w:bCs/>
                <w:sz w:val="24"/>
                <w:lang w:val="el-GR" w:eastAsia="el-GR"/>
              </w:rPr>
            </w:pPr>
            <w:r w:rsidRPr="00744B70">
              <w:rPr>
                <w:bCs/>
                <w:sz w:val="24"/>
                <w:lang w:val="el-GR" w:eastAsia="el-GR"/>
              </w:rPr>
              <w:t>Γενικά Τεχνικά Χαρακτηριστικά</w:t>
            </w:r>
          </w:p>
          <w:p w14:paraId="4EACEF94" w14:textId="77777777" w:rsidR="00744B70" w:rsidRPr="00744B70" w:rsidRDefault="00744B70" w:rsidP="00744B70">
            <w:pPr>
              <w:suppressAutoHyphens w:val="0"/>
              <w:spacing w:after="0"/>
              <w:jc w:val="left"/>
              <w:rPr>
                <w:bCs/>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6FCDDE" w14:textId="77777777" w:rsidR="00744B70" w:rsidRPr="00744B70" w:rsidRDefault="00744B70" w:rsidP="00744B70">
            <w:pPr>
              <w:suppressAutoHyphens w:val="0"/>
              <w:spacing w:after="0"/>
              <w:jc w:val="center"/>
              <w:rPr>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6B3993F7"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1AEE4E2A"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6603A74A"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09ADFF63"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732B264B" w14:textId="77777777" w:rsidR="00744B70" w:rsidRPr="00744B70" w:rsidRDefault="00744B70" w:rsidP="00744B70">
            <w:pPr>
              <w:suppressAutoHyphens w:val="0"/>
              <w:spacing w:after="0"/>
              <w:jc w:val="left"/>
              <w:rPr>
                <w:bCs/>
                <w:sz w:val="24"/>
                <w:lang w:val="el-GR" w:eastAsia="el-GR"/>
              </w:rPr>
            </w:pPr>
            <w:r w:rsidRPr="00744B70">
              <w:rPr>
                <w:bCs/>
                <w:sz w:val="24"/>
                <w:lang w:val="el-GR" w:eastAsia="el-GR"/>
              </w:rPr>
              <w:t>Πλαίσιο Οχήματος</w:t>
            </w:r>
          </w:p>
          <w:p w14:paraId="59690753"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 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4AF390"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2F6EB12F"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449011B2"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7B2A7B64"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3535A29E"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65AC4DFB" w14:textId="77777777" w:rsidR="00744B70" w:rsidRPr="00744B70" w:rsidRDefault="00744B70" w:rsidP="00744B70">
            <w:pPr>
              <w:keepNext/>
              <w:suppressAutoHyphens w:val="0"/>
              <w:spacing w:after="0"/>
              <w:jc w:val="left"/>
              <w:outlineLvl w:val="8"/>
              <w:rPr>
                <w:bCs/>
                <w:sz w:val="24"/>
                <w:lang w:val="el-GR" w:eastAsia="el-GR"/>
              </w:rPr>
            </w:pPr>
            <w:r w:rsidRPr="00744B70">
              <w:rPr>
                <w:bCs/>
                <w:sz w:val="24"/>
                <w:lang w:val="el-GR" w:eastAsia="el-GR"/>
              </w:rPr>
              <w:t xml:space="preserve">  Ωφέλιμο   φορτίο </w:t>
            </w:r>
          </w:p>
          <w:p w14:paraId="1E387412" w14:textId="77777777" w:rsidR="00744B70" w:rsidRPr="00744B70" w:rsidRDefault="00744B70" w:rsidP="00744B70">
            <w:pPr>
              <w:keepNext/>
              <w:suppressAutoHyphens w:val="0"/>
              <w:spacing w:after="0"/>
              <w:jc w:val="left"/>
              <w:outlineLvl w:val="8"/>
              <w:rPr>
                <w:bCs/>
                <w:sz w:val="24"/>
                <w:lang w:val="el-GR" w:eastAsia="el-GR"/>
              </w:rPr>
            </w:pPr>
            <w:r w:rsidRPr="00744B70">
              <w:rPr>
                <w:bCs/>
                <w:i/>
                <w:sz w:val="24"/>
                <w:lang w:val="el-GR" w:eastAsia="el-GR"/>
              </w:rPr>
              <w:t xml:space="preserve">Όπως αναλυτικά ορίζονται στη σχετική </w:t>
            </w:r>
            <w:r w:rsidRPr="00744B70">
              <w:rPr>
                <w:bCs/>
                <w:i/>
                <w:sz w:val="24"/>
                <w:lang w:val="el-GR" w:eastAsia="el-GR"/>
              </w:rPr>
              <w:lastRenderedPageBreak/>
              <w:t xml:space="preserve">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C9A0DD"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lastRenderedPageBreak/>
              <w:t>ΝΑΙ</w:t>
            </w:r>
          </w:p>
        </w:tc>
        <w:tc>
          <w:tcPr>
            <w:tcW w:w="1490" w:type="dxa"/>
            <w:tcBorders>
              <w:top w:val="single" w:sz="4" w:space="0" w:color="auto"/>
              <w:left w:val="single" w:sz="4" w:space="0" w:color="auto"/>
              <w:bottom w:val="single" w:sz="4" w:space="0" w:color="auto"/>
              <w:right w:val="single" w:sz="4" w:space="0" w:color="auto"/>
            </w:tcBorders>
            <w:vAlign w:val="center"/>
          </w:tcPr>
          <w:p w14:paraId="302D45AF"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53D706BE"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469EE60E"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27CC9966"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6F25B173" w14:textId="77777777" w:rsidR="00744B70" w:rsidRPr="00744B70" w:rsidRDefault="00744B70" w:rsidP="00744B70">
            <w:pPr>
              <w:keepNext/>
              <w:suppressAutoHyphens w:val="0"/>
              <w:spacing w:after="0"/>
              <w:jc w:val="left"/>
              <w:outlineLvl w:val="8"/>
              <w:rPr>
                <w:bCs/>
                <w:sz w:val="24"/>
                <w:lang w:val="el-GR" w:eastAsia="el-GR"/>
              </w:rPr>
            </w:pPr>
            <w:r w:rsidRPr="00744B70">
              <w:rPr>
                <w:bCs/>
                <w:sz w:val="24"/>
                <w:lang w:val="el-GR" w:eastAsia="el-GR"/>
              </w:rPr>
              <w:t xml:space="preserve"> </w:t>
            </w:r>
            <w:r w:rsidRPr="00744B70">
              <w:rPr>
                <w:rFonts w:eastAsia="Cambria" w:cs="Times New Roman"/>
                <w:color w:val="000000"/>
                <w:sz w:val="24"/>
                <w:lang w:val="el-GR" w:eastAsia="el-GR"/>
              </w:rPr>
              <w:t>Ισχύς και Ροπή Στρέψης Κινητήρα</w:t>
            </w:r>
          </w:p>
          <w:p w14:paraId="141568FD"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696E15"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2BB0C9A3"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383439EC"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69E14529"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58EC8053"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tcPr>
          <w:p w14:paraId="0403D6CF" w14:textId="77777777" w:rsidR="00744B70" w:rsidRPr="00744B70" w:rsidRDefault="00744B70" w:rsidP="00744B70">
            <w:pPr>
              <w:keepNext/>
              <w:suppressAutoHyphens w:val="0"/>
              <w:spacing w:after="0"/>
              <w:jc w:val="left"/>
              <w:outlineLvl w:val="8"/>
              <w:rPr>
                <w:bCs/>
                <w:sz w:val="24"/>
                <w:lang w:val="el-GR" w:eastAsia="el-GR"/>
              </w:rPr>
            </w:pPr>
            <w:r w:rsidRPr="00744B70">
              <w:rPr>
                <w:rFonts w:eastAsia="Cambria" w:cs="Times New Roman"/>
                <w:color w:val="000000"/>
                <w:sz w:val="24"/>
                <w:lang w:val="el-GR" w:eastAsia="el-GR"/>
              </w:rPr>
              <w:t>Όρια Εκπομπών (Καυσαέρια – Θόρυβος)</w:t>
            </w:r>
            <w:r w:rsidRPr="00744B70">
              <w:rPr>
                <w:bCs/>
                <w:i/>
                <w:sz w:val="24"/>
                <w:lang w:val="el-GR" w:eastAsia="el-GR"/>
              </w:rPr>
              <w:t xml:space="preserve"> 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225470D5"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1C79669C"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7862303B"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38B47E9D"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02272E4F"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34283C34"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rFonts w:eastAsia="Cambria" w:cs="Times New Roman"/>
                <w:color w:val="000000"/>
                <w:sz w:val="24"/>
                <w:lang w:val="el-GR" w:eastAsia="el-GR"/>
              </w:rPr>
              <w:t>Σύστημα Μετάδοσης κίνησης</w:t>
            </w:r>
          </w:p>
          <w:p w14:paraId="069A76E1"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 xml:space="preserve"> 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6ECF5400"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22D68208"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1A473477"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196B63E1"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7F6A2E83"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278763DB"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rFonts w:eastAsia="Cambria" w:cs="Times New Roman"/>
                <w:color w:val="000000"/>
                <w:sz w:val="24"/>
                <w:lang w:val="el-GR" w:eastAsia="el-GR"/>
              </w:rPr>
              <w:t>Σύστημα πέδησης</w:t>
            </w:r>
          </w:p>
          <w:p w14:paraId="100EA39A"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 xml:space="preserve"> 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1CA6F2A9"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4BB7FB36"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6C2D1AD6"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58A5A39A"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47E36403"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7980A68C" w14:textId="77777777" w:rsidR="00744B70" w:rsidRPr="00744B70" w:rsidRDefault="00744B70" w:rsidP="00744B70">
            <w:pPr>
              <w:suppressAutoHyphens w:val="0"/>
              <w:spacing w:after="0"/>
              <w:rPr>
                <w:bCs/>
                <w:i/>
                <w:sz w:val="24"/>
                <w:lang w:val="el-GR" w:eastAsia="el-GR"/>
              </w:rPr>
            </w:pPr>
            <w:r w:rsidRPr="00744B70">
              <w:rPr>
                <w:rFonts w:eastAsia="Cambria" w:cs="Times New Roman"/>
                <w:color w:val="000000"/>
                <w:sz w:val="24"/>
                <w:lang w:val="el-GR" w:eastAsia="el-GR"/>
              </w:rPr>
              <w:t>Σύστημα Κύλισης</w:t>
            </w:r>
            <w:r w:rsidRPr="00744B70">
              <w:rPr>
                <w:bCs/>
                <w:i/>
                <w:sz w:val="24"/>
                <w:lang w:val="el-GR" w:eastAsia="el-GR"/>
              </w:rPr>
              <w:t xml:space="preserve"> </w:t>
            </w:r>
          </w:p>
          <w:p w14:paraId="5782326F"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38D5A39E"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76F2AF53"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573CF591"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3E2C2AC7"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6582224F"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4C6B28F5" w14:textId="77777777" w:rsidR="00744B70" w:rsidRPr="00744B70" w:rsidRDefault="00744B70" w:rsidP="00744B70">
            <w:pPr>
              <w:suppressAutoHyphens w:val="0"/>
              <w:spacing w:after="0"/>
              <w:rPr>
                <w:bCs/>
                <w:i/>
                <w:sz w:val="24"/>
                <w:lang w:val="el-GR" w:eastAsia="el-GR"/>
              </w:rPr>
            </w:pPr>
            <w:r w:rsidRPr="00744B70">
              <w:rPr>
                <w:rFonts w:eastAsia="Cambria" w:cs="Times New Roman"/>
                <w:color w:val="000000"/>
                <w:sz w:val="24"/>
                <w:lang w:val="el-GR" w:eastAsia="el-GR"/>
              </w:rPr>
              <w:t>Σύστημα Διεύθυνσης</w:t>
            </w:r>
          </w:p>
          <w:p w14:paraId="460F2D4C"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4F49A4D6"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5745729E"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1E4AFF2D"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2B6BF5A6"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3F71EE6F"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10D4DF82"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rFonts w:eastAsia="Cambria" w:cs="Times New Roman"/>
                <w:color w:val="000000"/>
                <w:sz w:val="24"/>
                <w:lang w:val="el-GR" w:eastAsia="el-GR"/>
              </w:rPr>
              <w:t>Σύστημα Ανάρτησης</w:t>
            </w:r>
          </w:p>
          <w:p w14:paraId="518F4722"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00A8B314"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62EAC3EE"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636B6E1B"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59D0D057"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67BBB419"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shd w:val="clear" w:color="auto" w:fill="auto"/>
          </w:tcPr>
          <w:p w14:paraId="26F91846" w14:textId="77777777" w:rsidR="00744B70" w:rsidRPr="00744B70" w:rsidRDefault="00744B70" w:rsidP="00744B70">
            <w:pPr>
              <w:suppressAutoHyphens w:val="0"/>
              <w:spacing w:after="0"/>
              <w:rPr>
                <w:bCs/>
                <w:i/>
                <w:sz w:val="24"/>
                <w:lang w:val="el-GR" w:eastAsia="el-GR"/>
              </w:rPr>
            </w:pPr>
            <w:r w:rsidRPr="00744B70">
              <w:rPr>
                <w:rFonts w:eastAsia="Cambria" w:cs="Times New Roman"/>
                <w:color w:val="000000"/>
                <w:sz w:val="24"/>
                <w:lang w:val="el-GR" w:eastAsia="el-GR"/>
              </w:rPr>
              <w:t>Καμπίνα Οδήγησης</w:t>
            </w:r>
            <w:r w:rsidRPr="00744B70">
              <w:rPr>
                <w:bCs/>
                <w:i/>
                <w:sz w:val="24"/>
                <w:lang w:val="el-GR" w:eastAsia="el-GR"/>
              </w:rPr>
              <w:t xml:space="preserve"> </w:t>
            </w:r>
          </w:p>
          <w:p w14:paraId="3D24EC34" w14:textId="77777777" w:rsidR="00744B70" w:rsidRPr="00744B70" w:rsidRDefault="00744B70" w:rsidP="00744B70">
            <w:pPr>
              <w:suppressAutoHyphens w:val="0"/>
              <w:spacing w:after="0"/>
              <w:rPr>
                <w:rFonts w:eastAsia="Cambria" w:cs="Times New Roman"/>
                <w:color w:val="000000"/>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tcPr>
          <w:p w14:paraId="4C865843" w14:textId="77777777" w:rsidR="00744B70" w:rsidRPr="00744B70" w:rsidRDefault="00744B70" w:rsidP="00744B70">
            <w:pPr>
              <w:suppressAutoHyphens w:val="0"/>
              <w:spacing w:after="0"/>
              <w:jc w:val="center"/>
              <w:rPr>
                <w:rFonts w:ascii="Times New Roman" w:hAnsi="Times New Roman"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58F4E638"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4630D10E"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1BF02EEB"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3AD573AB"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29C34DB3" w14:textId="77777777" w:rsidR="00744B70" w:rsidRPr="00744B70" w:rsidRDefault="00744B70" w:rsidP="00744B70">
            <w:pPr>
              <w:keepNext/>
              <w:suppressAutoHyphens w:val="0"/>
              <w:spacing w:after="0"/>
              <w:jc w:val="left"/>
              <w:outlineLvl w:val="8"/>
              <w:rPr>
                <w:bCs/>
                <w:sz w:val="24"/>
                <w:lang w:val="en-US" w:eastAsia="el-GR"/>
              </w:rPr>
            </w:pPr>
            <w:r w:rsidRPr="00744B70">
              <w:rPr>
                <w:bCs/>
                <w:sz w:val="24"/>
                <w:lang w:val="el-GR" w:eastAsia="el-GR"/>
              </w:rPr>
              <w:t xml:space="preserve"> Υπερκατασκευή  κιβωτάμαξα</w:t>
            </w:r>
          </w:p>
          <w:p w14:paraId="4488990E"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647D6F"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752CF2DF"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586E5643"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0E513E42"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6844BA65"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2FAFAA68" w14:textId="77777777" w:rsidR="00744B70" w:rsidRPr="00744B70" w:rsidRDefault="00744B70" w:rsidP="00744B70">
            <w:pPr>
              <w:keepNext/>
              <w:suppressAutoHyphens w:val="0"/>
              <w:spacing w:after="0"/>
              <w:jc w:val="left"/>
              <w:outlineLvl w:val="8"/>
              <w:rPr>
                <w:bCs/>
                <w:i/>
                <w:sz w:val="24"/>
                <w:lang w:val="el-GR" w:eastAsia="el-GR"/>
              </w:rPr>
            </w:pPr>
            <w:r w:rsidRPr="00744B70">
              <w:rPr>
                <w:bCs/>
                <w:i/>
                <w:sz w:val="24"/>
                <w:lang w:val="el-GR" w:eastAsia="el-GR"/>
              </w:rPr>
              <w:t>Σύστημα Ανατροπής</w:t>
            </w:r>
          </w:p>
          <w:p w14:paraId="012918F9" w14:textId="77777777" w:rsidR="00744B70" w:rsidRPr="00744B70" w:rsidRDefault="00744B70" w:rsidP="00744B70">
            <w:pPr>
              <w:keepNext/>
              <w:suppressAutoHyphens w:val="0"/>
              <w:spacing w:after="0"/>
              <w:jc w:val="left"/>
              <w:outlineLvl w:val="8"/>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AFBCFC"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10F1CFB1"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27B96480"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2E7BE346"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5DCE2B33"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495C3515" w14:textId="77777777" w:rsidR="00744B70" w:rsidRPr="00744B70" w:rsidRDefault="00744B70" w:rsidP="00744B70">
            <w:pPr>
              <w:suppressAutoHyphens w:val="0"/>
              <w:spacing w:after="0"/>
              <w:jc w:val="left"/>
              <w:rPr>
                <w:bCs/>
                <w:sz w:val="24"/>
                <w:lang w:val="el-GR" w:eastAsia="el-GR"/>
              </w:rPr>
            </w:pPr>
            <w:r w:rsidRPr="00744B70">
              <w:rPr>
                <w:bCs/>
                <w:sz w:val="24"/>
                <w:lang w:val="el-GR" w:eastAsia="el-GR"/>
              </w:rPr>
              <w:t>Τεχνική αξία (Λειτουργικότητα, αποδοτικότητα, αισθητικότητα του προσφερόμενου εξοπλισμού)</w:t>
            </w:r>
          </w:p>
          <w:p w14:paraId="716D37D9"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047C24"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751B31BD"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2F50167F"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51EF2B45"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61CAC5CD"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3B132D5A" w14:textId="77777777" w:rsidR="00744B70" w:rsidRPr="00744B70" w:rsidRDefault="00744B70" w:rsidP="00744B70">
            <w:pPr>
              <w:keepNext/>
              <w:suppressAutoHyphens w:val="0"/>
              <w:spacing w:after="0"/>
              <w:jc w:val="left"/>
              <w:outlineLvl w:val="8"/>
              <w:rPr>
                <w:bCs/>
                <w:sz w:val="24"/>
                <w:lang w:val="el-GR" w:eastAsia="el-GR"/>
              </w:rPr>
            </w:pPr>
            <w:r w:rsidRPr="00744B70">
              <w:rPr>
                <w:bCs/>
                <w:sz w:val="24"/>
                <w:lang w:val="el-GR" w:eastAsia="el-GR"/>
              </w:rPr>
              <w:t>Καταλληλότητα του προσφερόμενου οχήματος  για την εξυπηρέτηση του σκοπού για τον οποίο προορίζεται</w:t>
            </w:r>
          </w:p>
          <w:p w14:paraId="69BFB467"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78C408" w14:textId="77777777" w:rsidR="00744B70" w:rsidRPr="00744B70" w:rsidRDefault="00744B70" w:rsidP="00744B70">
            <w:pPr>
              <w:suppressAutoHyphens w:val="0"/>
              <w:spacing w:after="0"/>
              <w:jc w:val="center"/>
              <w:rPr>
                <w:rFonts w:cs="Times New Roman"/>
                <w:sz w:val="24"/>
                <w:lang w:val="en-US"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06056756"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185A0E9C"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4C085227"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5F5BE389"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6334E711" w14:textId="77777777" w:rsidR="00744B70" w:rsidRPr="00744B70" w:rsidRDefault="00744B70" w:rsidP="00744B70">
            <w:pPr>
              <w:keepNext/>
              <w:suppressAutoHyphens w:val="0"/>
              <w:spacing w:after="0"/>
              <w:jc w:val="left"/>
              <w:outlineLvl w:val="8"/>
              <w:rPr>
                <w:bCs/>
                <w:sz w:val="24"/>
                <w:lang w:val="el-GR" w:eastAsia="el-GR"/>
              </w:rPr>
            </w:pPr>
            <w:r w:rsidRPr="00744B70">
              <w:rPr>
                <w:rFonts w:eastAsia="Cambria" w:cs="Times New Roman"/>
                <w:color w:val="000000"/>
                <w:sz w:val="24"/>
                <w:lang w:val="el-GR" w:eastAsia="el-GR"/>
              </w:rPr>
              <w:t>Εγγύηση καλής λειτουργίας.</w:t>
            </w:r>
          </w:p>
          <w:p w14:paraId="7F917161"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B7A043" w14:textId="77777777" w:rsidR="00744B70" w:rsidRPr="00744B70" w:rsidRDefault="00744B70" w:rsidP="00744B70">
            <w:pPr>
              <w:suppressAutoHyphens w:val="0"/>
              <w:spacing w:after="0"/>
              <w:jc w:val="center"/>
              <w:rPr>
                <w:rFonts w:cs="Times New Roman"/>
                <w:sz w:val="24"/>
                <w:lang w:val="en-US"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648BCDEE"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62680803"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ED1C0D" w14:paraId="14771E2F"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76446DB1"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3A31231A" w14:textId="77777777" w:rsidR="00744B70" w:rsidRPr="00744B70" w:rsidRDefault="00744B70" w:rsidP="00744B70">
            <w:pPr>
              <w:keepNext/>
              <w:suppressAutoHyphens w:val="0"/>
              <w:spacing w:after="0"/>
              <w:jc w:val="left"/>
              <w:outlineLvl w:val="8"/>
              <w:rPr>
                <w:rFonts w:eastAsia="Cambria" w:cs="Times New Roman"/>
                <w:color w:val="000000"/>
                <w:sz w:val="24"/>
                <w:lang w:val="el-GR" w:eastAsia="el-GR"/>
              </w:rPr>
            </w:pPr>
            <w:r w:rsidRPr="00744B70">
              <w:rPr>
                <w:rFonts w:eastAsia="Cambria" w:cs="Times New Roman"/>
                <w:color w:val="000000"/>
                <w:sz w:val="24"/>
                <w:lang w:val="el-GR" w:eastAsia="el-GR"/>
              </w:rPr>
              <w:t xml:space="preserve">Εκπαίδευση χειριστών, ανταλλακτικά, χρόνος παράδοσης ανταλλακτικών – SERVICE – συντήρηση, τεχνική </w:t>
            </w:r>
            <w:r w:rsidRPr="00744B70">
              <w:rPr>
                <w:rFonts w:eastAsia="Cambria" w:cs="Times New Roman"/>
                <w:color w:val="000000"/>
                <w:sz w:val="24"/>
                <w:lang w:val="el-GR" w:eastAsia="el-GR"/>
              </w:rPr>
              <w:lastRenderedPageBreak/>
              <w:t>υποστήριξη του προμηθευτή μετά την πώληση (εξειδικευμένο προσωπικό, τρόπος αντιμετώπισης προληπτικών συντηρήσεων και επισκευών).</w:t>
            </w:r>
          </w:p>
          <w:p w14:paraId="0A1C6368" w14:textId="77777777" w:rsidR="00744B70" w:rsidRPr="00744B70" w:rsidRDefault="00744B70" w:rsidP="00744B70">
            <w:pPr>
              <w:keepNext/>
              <w:suppressAutoHyphens w:val="0"/>
              <w:spacing w:after="0"/>
              <w:jc w:val="left"/>
              <w:outlineLvl w:val="8"/>
              <w:rPr>
                <w:rFonts w:eastAsia="Cambria" w:cs="Times New Roman"/>
                <w:color w:val="000000"/>
                <w:sz w:val="24"/>
                <w:lang w:val="el-GR" w:eastAsia="el-GR"/>
              </w:rPr>
            </w:pPr>
            <w:r w:rsidRPr="00744B70">
              <w:rPr>
                <w:bCs/>
                <w:i/>
                <w:sz w:val="24"/>
                <w:lang w:val="el-GR" w:eastAsia="el-GR"/>
              </w:rPr>
              <w:t>Όπως αναλυτικά ορίζονται στη  σχετική μελέτη.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1E40C7" w14:textId="77777777" w:rsidR="00744B70" w:rsidRPr="00744B70" w:rsidRDefault="00744B70" w:rsidP="00744B70">
            <w:pPr>
              <w:suppressAutoHyphens w:val="0"/>
              <w:spacing w:after="0"/>
              <w:jc w:val="center"/>
              <w:rPr>
                <w:sz w:val="24"/>
                <w:lang w:val="el-GR" w:eastAsia="el-GR"/>
              </w:rPr>
            </w:pPr>
          </w:p>
        </w:tc>
        <w:tc>
          <w:tcPr>
            <w:tcW w:w="1490" w:type="dxa"/>
            <w:tcBorders>
              <w:top w:val="single" w:sz="4" w:space="0" w:color="auto"/>
              <w:left w:val="single" w:sz="4" w:space="0" w:color="auto"/>
              <w:bottom w:val="single" w:sz="4" w:space="0" w:color="auto"/>
              <w:right w:val="single" w:sz="4" w:space="0" w:color="auto"/>
            </w:tcBorders>
            <w:vAlign w:val="center"/>
          </w:tcPr>
          <w:p w14:paraId="69A814BE"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7030A000" w14:textId="77777777" w:rsidR="00744B70" w:rsidRPr="00744B70" w:rsidRDefault="00744B70" w:rsidP="00744B70">
            <w:pPr>
              <w:keepNext/>
              <w:suppressAutoHyphens w:val="0"/>
              <w:spacing w:after="0"/>
              <w:jc w:val="center"/>
              <w:outlineLvl w:val="8"/>
              <w:rPr>
                <w:bCs/>
                <w:sz w:val="24"/>
                <w:lang w:val="el-GR" w:eastAsia="el-GR"/>
              </w:rPr>
            </w:pPr>
          </w:p>
        </w:tc>
      </w:tr>
      <w:tr w:rsidR="00744B70" w:rsidRPr="00744B70" w14:paraId="4DFEA0BF" w14:textId="77777777" w:rsidTr="0075659A">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38CDA00E" w14:textId="77777777" w:rsidR="00744B70" w:rsidRPr="00744B70" w:rsidRDefault="00744B70" w:rsidP="00744B70">
            <w:pPr>
              <w:widowControl w:val="0"/>
              <w:numPr>
                <w:ilvl w:val="0"/>
                <w:numId w:val="24"/>
              </w:numPr>
              <w:suppressAutoHyphens w:val="0"/>
              <w:autoSpaceDE w:val="0"/>
              <w:autoSpaceDN w:val="0"/>
              <w:adjustRightInd w:val="0"/>
              <w:spacing w:after="0"/>
              <w:ind w:left="0" w:firstLine="0"/>
              <w:jc w:val="center"/>
              <w:rPr>
                <w:rFonts w:cs="Times New Roman"/>
                <w:sz w:val="24"/>
                <w:lang w:val="el-GR" w:eastAsia="el-GR"/>
              </w:rPr>
            </w:pPr>
          </w:p>
        </w:tc>
        <w:tc>
          <w:tcPr>
            <w:tcW w:w="4184" w:type="dxa"/>
            <w:tcBorders>
              <w:top w:val="single" w:sz="4" w:space="0" w:color="auto"/>
              <w:left w:val="single" w:sz="4" w:space="0" w:color="auto"/>
              <w:bottom w:val="single" w:sz="4" w:space="0" w:color="auto"/>
              <w:right w:val="single" w:sz="4" w:space="0" w:color="auto"/>
            </w:tcBorders>
            <w:vAlign w:val="center"/>
            <w:hideMark/>
          </w:tcPr>
          <w:p w14:paraId="43820EA7" w14:textId="77777777" w:rsidR="00744B70" w:rsidRPr="00744B70" w:rsidRDefault="00744B70" w:rsidP="00744B70">
            <w:pPr>
              <w:suppressAutoHyphens w:val="0"/>
              <w:spacing w:after="0"/>
              <w:jc w:val="left"/>
              <w:rPr>
                <w:rFonts w:eastAsia="Cambria" w:cs="Times New Roman"/>
                <w:color w:val="000000"/>
                <w:sz w:val="24"/>
                <w:lang w:val="el-GR" w:eastAsia="el-GR"/>
              </w:rPr>
            </w:pPr>
            <w:r w:rsidRPr="00744B70">
              <w:rPr>
                <w:rFonts w:eastAsia="Cambria" w:cs="Times New Roman"/>
                <w:color w:val="000000"/>
                <w:sz w:val="24"/>
                <w:lang w:val="el-GR" w:eastAsia="el-GR"/>
              </w:rPr>
              <w:t>Χρόνος   παράδοσης.</w:t>
            </w:r>
          </w:p>
          <w:p w14:paraId="6F790723" w14:textId="77777777" w:rsidR="00744B70" w:rsidRPr="00744B70" w:rsidRDefault="00744B70" w:rsidP="00744B70">
            <w:pPr>
              <w:suppressAutoHyphens w:val="0"/>
              <w:spacing w:after="0"/>
              <w:jc w:val="left"/>
              <w:rPr>
                <w:bCs/>
                <w:i/>
                <w:sz w:val="24"/>
                <w:lang w:val="el-GR" w:eastAsia="el-GR"/>
              </w:rPr>
            </w:pPr>
            <w:r w:rsidRPr="00744B70">
              <w:rPr>
                <w:bCs/>
                <w:i/>
                <w:sz w:val="24"/>
                <w:lang w:val="el-GR" w:eastAsia="el-GR"/>
              </w:rPr>
              <w:t xml:space="preserve">Όπως αναλυτικά ορίζονται στη σχετική μελέτη.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13CE31" w14:textId="77777777" w:rsidR="00744B70" w:rsidRPr="00744B70" w:rsidRDefault="00744B70" w:rsidP="00744B70">
            <w:pPr>
              <w:suppressAutoHyphens w:val="0"/>
              <w:spacing w:after="0"/>
              <w:jc w:val="center"/>
              <w:rPr>
                <w:rFonts w:cs="Times New Roman"/>
                <w:sz w:val="24"/>
                <w:lang w:val="el-GR" w:eastAsia="el-GR"/>
              </w:rPr>
            </w:pPr>
            <w:r w:rsidRPr="00744B70">
              <w:rPr>
                <w:sz w:val="24"/>
                <w:lang w:val="el-GR" w:eastAsia="el-GR"/>
              </w:rPr>
              <w:t>ΝΑΙ</w:t>
            </w:r>
          </w:p>
        </w:tc>
        <w:tc>
          <w:tcPr>
            <w:tcW w:w="1490" w:type="dxa"/>
            <w:tcBorders>
              <w:top w:val="single" w:sz="4" w:space="0" w:color="auto"/>
              <w:left w:val="single" w:sz="4" w:space="0" w:color="auto"/>
              <w:bottom w:val="single" w:sz="4" w:space="0" w:color="auto"/>
              <w:right w:val="single" w:sz="4" w:space="0" w:color="auto"/>
            </w:tcBorders>
            <w:vAlign w:val="center"/>
          </w:tcPr>
          <w:p w14:paraId="3FD9E6AC" w14:textId="77777777" w:rsidR="00744B70" w:rsidRPr="00744B70" w:rsidRDefault="00744B70" w:rsidP="00744B70">
            <w:pPr>
              <w:keepNext/>
              <w:suppressAutoHyphens w:val="0"/>
              <w:spacing w:after="0"/>
              <w:jc w:val="center"/>
              <w:outlineLvl w:val="8"/>
              <w:rPr>
                <w:bCs/>
                <w:sz w:val="24"/>
                <w:lang w:val="el-GR" w:eastAsia="el-GR"/>
              </w:rPr>
            </w:pPr>
          </w:p>
        </w:tc>
        <w:tc>
          <w:tcPr>
            <w:tcW w:w="1702" w:type="dxa"/>
            <w:tcBorders>
              <w:top w:val="single" w:sz="4" w:space="0" w:color="auto"/>
              <w:left w:val="single" w:sz="4" w:space="0" w:color="auto"/>
              <w:bottom w:val="single" w:sz="4" w:space="0" w:color="auto"/>
              <w:right w:val="single" w:sz="4" w:space="0" w:color="auto"/>
            </w:tcBorders>
            <w:vAlign w:val="center"/>
          </w:tcPr>
          <w:p w14:paraId="25732928" w14:textId="77777777" w:rsidR="00744B70" w:rsidRPr="00744B70" w:rsidRDefault="00744B70" w:rsidP="00744B70">
            <w:pPr>
              <w:keepNext/>
              <w:suppressAutoHyphens w:val="0"/>
              <w:spacing w:after="0"/>
              <w:jc w:val="center"/>
              <w:outlineLvl w:val="8"/>
              <w:rPr>
                <w:bCs/>
                <w:sz w:val="24"/>
                <w:lang w:val="el-GR" w:eastAsia="el-GR"/>
              </w:rPr>
            </w:pPr>
          </w:p>
        </w:tc>
      </w:tr>
    </w:tbl>
    <w:p w14:paraId="365B069F" w14:textId="77777777" w:rsidR="00744B70" w:rsidRPr="00744B70" w:rsidRDefault="00744B70" w:rsidP="00744B70">
      <w:pPr>
        <w:rPr>
          <w:lang w:val="el-GR"/>
        </w:rPr>
      </w:pPr>
    </w:p>
    <w:p w14:paraId="0823DC9B" w14:textId="77777777" w:rsidR="00744B70" w:rsidRDefault="00744B70" w:rsidP="00744B70">
      <w:pPr>
        <w:rPr>
          <w:lang w:val="el-GR"/>
        </w:rPr>
      </w:pPr>
    </w:p>
    <w:p w14:paraId="5454CF1F" w14:textId="03D674E4" w:rsidR="00E04DC3" w:rsidRDefault="00E04DC3" w:rsidP="00E04DC3">
      <w:pPr>
        <w:spacing w:before="57" w:after="57"/>
        <w:rPr>
          <w:b/>
          <w:sz w:val="28"/>
          <w:szCs w:val="28"/>
          <w:u w:val="single"/>
          <w:lang w:val="el-GR"/>
        </w:rPr>
      </w:pPr>
      <w:r w:rsidRPr="00ED1C0D">
        <w:rPr>
          <w:b/>
          <w:sz w:val="28"/>
          <w:szCs w:val="28"/>
          <w:u w:val="single"/>
          <w:lang w:val="el-GR"/>
        </w:rPr>
        <w:t xml:space="preserve">ΠΑΡΑΡΤΗΜΑ </w:t>
      </w:r>
      <w:r>
        <w:rPr>
          <w:b/>
          <w:sz w:val="28"/>
          <w:szCs w:val="28"/>
          <w:u w:val="single"/>
          <w:lang w:val="el-GR"/>
        </w:rPr>
        <w:t>Ι</w:t>
      </w:r>
      <w:r w:rsidRPr="00ED1C0D">
        <w:rPr>
          <w:b/>
          <w:sz w:val="28"/>
          <w:szCs w:val="28"/>
          <w:u w:val="single"/>
          <w:lang w:val="en-US"/>
        </w:rPr>
        <w:t>V</w:t>
      </w:r>
      <w:r w:rsidRPr="00ED1C0D">
        <w:rPr>
          <w:b/>
          <w:sz w:val="28"/>
          <w:szCs w:val="28"/>
          <w:u w:val="single"/>
          <w:lang w:val="el-GR"/>
        </w:rPr>
        <w:t xml:space="preserve">– </w:t>
      </w:r>
      <w:r>
        <w:rPr>
          <w:b/>
          <w:sz w:val="28"/>
          <w:szCs w:val="28"/>
          <w:u w:val="single"/>
          <w:lang w:val="el-GR"/>
        </w:rPr>
        <w:t>ΠΙΝΑΚΑΣ ΚΡΙΤΗΡΙΩΝ-ΑΞΙΟΛΟΓΗΣΗΣ ΚΑΙ ΒΑΘΜΟΛΟΓΗΣΗΣ ΠΡΟΣΦΟΡΩΝ</w:t>
      </w:r>
    </w:p>
    <w:p w14:paraId="6B5E825F" w14:textId="77777777" w:rsidR="00E04DC3" w:rsidRDefault="00E04DC3" w:rsidP="00E04DC3">
      <w:pPr>
        <w:spacing w:before="57" w:after="57"/>
        <w:rPr>
          <w:b/>
          <w:sz w:val="28"/>
          <w:szCs w:val="28"/>
          <w:u w:val="single"/>
          <w:lang w:val="el-GR"/>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6378"/>
        <w:gridCol w:w="1826"/>
      </w:tblGrid>
      <w:tr w:rsidR="00E04DC3" w:rsidRPr="00E04DC3" w14:paraId="13C752A7" w14:textId="77777777" w:rsidTr="00E16CFB">
        <w:trPr>
          <w:jc w:val="center"/>
        </w:trPr>
        <w:tc>
          <w:tcPr>
            <w:tcW w:w="9606" w:type="dxa"/>
            <w:gridSpan w:val="3"/>
            <w:shd w:val="clear" w:color="auto" w:fill="auto"/>
            <w:vAlign w:val="center"/>
          </w:tcPr>
          <w:p w14:paraId="68B8C76B" w14:textId="77777777" w:rsidR="00E04DC3" w:rsidRPr="00E04DC3" w:rsidRDefault="00E04DC3" w:rsidP="00E04DC3">
            <w:pPr>
              <w:suppressAutoHyphens w:val="0"/>
              <w:spacing w:after="0"/>
              <w:jc w:val="center"/>
              <w:rPr>
                <w:rFonts w:eastAsia="Cambria" w:cs="Times New Roman"/>
                <w:color w:val="0000FF"/>
                <w:sz w:val="24"/>
                <w:lang w:val="el-GR" w:eastAsia="el-GR"/>
              </w:rPr>
            </w:pPr>
            <w:r w:rsidRPr="00E04DC3">
              <w:rPr>
                <w:rFonts w:eastAsia="Cambria" w:cs="Times New Roman"/>
                <w:color w:val="0000FF"/>
                <w:szCs w:val="22"/>
                <w:lang w:val="el-GR" w:eastAsia="el-GR"/>
              </w:rPr>
              <w:t xml:space="preserve">Πίνακας κριτηρίων αξιολόγησης προσφορών </w:t>
            </w:r>
          </w:p>
        </w:tc>
      </w:tr>
      <w:tr w:rsidR="00E04DC3" w:rsidRPr="00E04DC3" w14:paraId="4ED39B46" w14:textId="77777777" w:rsidTr="00E16CFB">
        <w:trPr>
          <w:jc w:val="center"/>
        </w:trPr>
        <w:tc>
          <w:tcPr>
            <w:tcW w:w="1402" w:type="dxa"/>
            <w:shd w:val="clear" w:color="auto" w:fill="auto"/>
            <w:vAlign w:val="center"/>
          </w:tcPr>
          <w:p w14:paraId="60BA9108"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ΚΡΙΤΗΡΙΟ</w:t>
            </w:r>
          </w:p>
        </w:tc>
        <w:tc>
          <w:tcPr>
            <w:tcW w:w="6378" w:type="dxa"/>
            <w:shd w:val="clear" w:color="auto" w:fill="auto"/>
            <w:vAlign w:val="center"/>
          </w:tcPr>
          <w:p w14:paraId="705ABADE" w14:textId="77777777" w:rsidR="00E04DC3" w:rsidRPr="00E04DC3" w:rsidRDefault="00E04DC3" w:rsidP="00E04DC3">
            <w:pPr>
              <w:suppressAutoHyphens w:val="0"/>
              <w:spacing w:after="0"/>
              <w:jc w:val="left"/>
              <w:rPr>
                <w:rFonts w:eastAsia="Cambria" w:cs="Times New Roman"/>
                <w:sz w:val="24"/>
                <w:lang w:val="el-GR" w:eastAsia="el-GR"/>
              </w:rPr>
            </w:pPr>
            <w:r w:rsidRPr="00E04DC3">
              <w:rPr>
                <w:rFonts w:eastAsia="Cambria" w:cs="Times New Roman"/>
                <w:sz w:val="24"/>
                <w:lang w:val="el-GR" w:eastAsia="el-GR"/>
              </w:rPr>
              <w:t>ΠΕΡΙΓΡΑΦΗ</w:t>
            </w:r>
          </w:p>
        </w:tc>
        <w:tc>
          <w:tcPr>
            <w:tcW w:w="1826" w:type="dxa"/>
            <w:shd w:val="clear" w:color="auto" w:fill="auto"/>
            <w:vAlign w:val="center"/>
          </w:tcPr>
          <w:p w14:paraId="63BFC41E"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ΣΥΝΤΕΛΕΣΤΗΣ ΒΑΡΥΤΗΤΑΣ (%)</w:t>
            </w:r>
          </w:p>
        </w:tc>
      </w:tr>
      <w:tr w:rsidR="00E04DC3" w:rsidRPr="00E04DC3" w14:paraId="2C34D50F" w14:textId="77777777" w:rsidTr="00E16CFB">
        <w:trPr>
          <w:jc w:val="center"/>
        </w:trPr>
        <w:tc>
          <w:tcPr>
            <w:tcW w:w="9606" w:type="dxa"/>
            <w:gridSpan w:val="3"/>
            <w:shd w:val="clear" w:color="auto" w:fill="auto"/>
            <w:vAlign w:val="center"/>
          </w:tcPr>
          <w:p w14:paraId="26F8A73F"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ΟΜΑΔΑ Α</w:t>
            </w:r>
            <w:r w:rsidRPr="00E04DC3">
              <w:rPr>
                <w:rFonts w:eastAsia="Cambria" w:cs="Times New Roman"/>
                <w:color w:val="0000FF"/>
                <w:sz w:val="24"/>
                <w:lang w:val="en-US" w:eastAsia="el-GR"/>
              </w:rPr>
              <w:t>:</w:t>
            </w:r>
            <w:r w:rsidRPr="00E04DC3">
              <w:rPr>
                <w:rFonts w:eastAsia="Cambria" w:cs="Times New Roman"/>
                <w:color w:val="0000FF"/>
                <w:sz w:val="24"/>
                <w:lang w:val="el-GR" w:eastAsia="el-GR"/>
              </w:rPr>
              <w:t xml:space="preserve">   ΠΛΑΙΣΙΟ </w:t>
            </w:r>
          </w:p>
        </w:tc>
      </w:tr>
      <w:tr w:rsidR="00E04DC3" w:rsidRPr="00E04DC3" w14:paraId="40C00BAC" w14:textId="77777777" w:rsidTr="00E16CFB">
        <w:trPr>
          <w:jc w:val="center"/>
        </w:trPr>
        <w:tc>
          <w:tcPr>
            <w:tcW w:w="1402" w:type="dxa"/>
            <w:shd w:val="clear" w:color="auto" w:fill="auto"/>
            <w:vAlign w:val="center"/>
          </w:tcPr>
          <w:p w14:paraId="01DE6AA2"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w:t>
            </w:r>
          </w:p>
        </w:tc>
        <w:tc>
          <w:tcPr>
            <w:tcW w:w="6378" w:type="dxa"/>
            <w:shd w:val="clear" w:color="auto" w:fill="auto"/>
            <w:vAlign w:val="center"/>
          </w:tcPr>
          <w:p w14:paraId="4CAD7595" w14:textId="77777777" w:rsidR="00E04DC3" w:rsidRPr="00E04DC3" w:rsidRDefault="00E04DC3" w:rsidP="00E04DC3">
            <w:pPr>
              <w:suppressAutoHyphens w:val="0"/>
              <w:spacing w:after="0"/>
              <w:rPr>
                <w:rFonts w:eastAsia="Cambria" w:cs="Times New Roman"/>
                <w:sz w:val="24"/>
                <w:lang w:val="el-GR" w:eastAsia="el-GR"/>
              </w:rPr>
            </w:pPr>
            <w:r w:rsidRPr="00E04DC3">
              <w:rPr>
                <w:rFonts w:eastAsia="Cambria" w:cs="Times New Roman"/>
                <w:color w:val="000000"/>
                <w:sz w:val="24"/>
                <w:lang w:val="el-GR" w:eastAsia="el-GR"/>
              </w:rPr>
              <w:t>Ωφέλιμο Φορτίο</w:t>
            </w:r>
          </w:p>
        </w:tc>
        <w:tc>
          <w:tcPr>
            <w:tcW w:w="1826" w:type="dxa"/>
            <w:shd w:val="clear" w:color="auto" w:fill="auto"/>
            <w:vAlign w:val="center"/>
          </w:tcPr>
          <w:p w14:paraId="3584BFD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1</w:t>
            </w:r>
          </w:p>
        </w:tc>
      </w:tr>
      <w:tr w:rsidR="00E04DC3" w:rsidRPr="00E04DC3" w14:paraId="530324D4" w14:textId="77777777" w:rsidTr="00E16CFB">
        <w:trPr>
          <w:jc w:val="center"/>
        </w:trPr>
        <w:tc>
          <w:tcPr>
            <w:tcW w:w="1402" w:type="dxa"/>
            <w:shd w:val="clear" w:color="auto" w:fill="auto"/>
            <w:vAlign w:val="center"/>
          </w:tcPr>
          <w:p w14:paraId="228C8F4A"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Κ2</w:t>
            </w:r>
          </w:p>
        </w:tc>
        <w:tc>
          <w:tcPr>
            <w:tcW w:w="6378" w:type="dxa"/>
            <w:shd w:val="clear" w:color="auto" w:fill="auto"/>
          </w:tcPr>
          <w:p w14:paraId="0561E081"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Ισχύς και Ροπή Στρέψης Κινητήρα</w:t>
            </w:r>
          </w:p>
        </w:tc>
        <w:tc>
          <w:tcPr>
            <w:tcW w:w="1826" w:type="dxa"/>
            <w:shd w:val="clear" w:color="auto" w:fill="auto"/>
            <w:vAlign w:val="center"/>
          </w:tcPr>
          <w:p w14:paraId="16EE6771"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4A094EBF" w14:textId="77777777" w:rsidTr="00E16CFB">
        <w:trPr>
          <w:jc w:val="center"/>
        </w:trPr>
        <w:tc>
          <w:tcPr>
            <w:tcW w:w="1402" w:type="dxa"/>
            <w:shd w:val="clear" w:color="auto" w:fill="auto"/>
            <w:vAlign w:val="center"/>
          </w:tcPr>
          <w:p w14:paraId="3AA8BD7F"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Κ3</w:t>
            </w:r>
          </w:p>
        </w:tc>
        <w:tc>
          <w:tcPr>
            <w:tcW w:w="6378" w:type="dxa"/>
            <w:shd w:val="clear" w:color="auto" w:fill="auto"/>
          </w:tcPr>
          <w:p w14:paraId="767A7ADD"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Όρια Εκπομπών (Καυσαέρια – Θόρυβος)</w:t>
            </w:r>
          </w:p>
        </w:tc>
        <w:tc>
          <w:tcPr>
            <w:tcW w:w="1826" w:type="dxa"/>
            <w:shd w:val="clear" w:color="auto" w:fill="auto"/>
            <w:vAlign w:val="center"/>
          </w:tcPr>
          <w:p w14:paraId="53C8664C"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62CB30D2" w14:textId="77777777" w:rsidTr="00E16CFB">
        <w:trPr>
          <w:jc w:val="center"/>
        </w:trPr>
        <w:tc>
          <w:tcPr>
            <w:tcW w:w="1402" w:type="dxa"/>
            <w:shd w:val="clear" w:color="auto" w:fill="auto"/>
            <w:vAlign w:val="center"/>
          </w:tcPr>
          <w:p w14:paraId="621EC6C2"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Κ4</w:t>
            </w:r>
          </w:p>
        </w:tc>
        <w:tc>
          <w:tcPr>
            <w:tcW w:w="6378" w:type="dxa"/>
            <w:shd w:val="clear" w:color="auto" w:fill="auto"/>
          </w:tcPr>
          <w:p w14:paraId="51BBE45B"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Σύστημα Μετάδοσης κίνησης</w:t>
            </w:r>
          </w:p>
        </w:tc>
        <w:tc>
          <w:tcPr>
            <w:tcW w:w="1826" w:type="dxa"/>
            <w:shd w:val="clear" w:color="auto" w:fill="auto"/>
            <w:vAlign w:val="center"/>
          </w:tcPr>
          <w:p w14:paraId="303455C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2D7EBEDB" w14:textId="77777777" w:rsidTr="00E16CFB">
        <w:trPr>
          <w:jc w:val="center"/>
        </w:trPr>
        <w:tc>
          <w:tcPr>
            <w:tcW w:w="1402" w:type="dxa"/>
            <w:shd w:val="clear" w:color="auto" w:fill="auto"/>
            <w:vAlign w:val="center"/>
          </w:tcPr>
          <w:p w14:paraId="281CC25B"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Κ5</w:t>
            </w:r>
          </w:p>
        </w:tc>
        <w:tc>
          <w:tcPr>
            <w:tcW w:w="6378" w:type="dxa"/>
            <w:shd w:val="clear" w:color="auto" w:fill="auto"/>
          </w:tcPr>
          <w:p w14:paraId="7258DD45"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Σύστημα πέδησης</w:t>
            </w:r>
          </w:p>
        </w:tc>
        <w:tc>
          <w:tcPr>
            <w:tcW w:w="1826" w:type="dxa"/>
            <w:shd w:val="clear" w:color="auto" w:fill="auto"/>
            <w:vAlign w:val="center"/>
          </w:tcPr>
          <w:p w14:paraId="562D9374"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3EE62FC1" w14:textId="77777777" w:rsidTr="00E16CFB">
        <w:trPr>
          <w:jc w:val="center"/>
        </w:trPr>
        <w:tc>
          <w:tcPr>
            <w:tcW w:w="1402" w:type="dxa"/>
            <w:shd w:val="clear" w:color="auto" w:fill="auto"/>
            <w:vAlign w:val="center"/>
          </w:tcPr>
          <w:p w14:paraId="726C98BE"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Κ6</w:t>
            </w:r>
          </w:p>
        </w:tc>
        <w:tc>
          <w:tcPr>
            <w:tcW w:w="6378" w:type="dxa"/>
            <w:shd w:val="clear" w:color="auto" w:fill="auto"/>
          </w:tcPr>
          <w:p w14:paraId="4B2CB246"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Σύστημα Κύλισης</w:t>
            </w:r>
          </w:p>
        </w:tc>
        <w:tc>
          <w:tcPr>
            <w:tcW w:w="1826" w:type="dxa"/>
            <w:shd w:val="clear" w:color="auto" w:fill="auto"/>
            <w:vAlign w:val="center"/>
          </w:tcPr>
          <w:p w14:paraId="0CC00E03"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21DA3BFB" w14:textId="77777777" w:rsidTr="00E16CFB">
        <w:trPr>
          <w:jc w:val="center"/>
        </w:trPr>
        <w:tc>
          <w:tcPr>
            <w:tcW w:w="1402" w:type="dxa"/>
            <w:shd w:val="clear" w:color="auto" w:fill="auto"/>
            <w:vAlign w:val="center"/>
          </w:tcPr>
          <w:p w14:paraId="1FC2CE77"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Κ7</w:t>
            </w:r>
          </w:p>
        </w:tc>
        <w:tc>
          <w:tcPr>
            <w:tcW w:w="6378" w:type="dxa"/>
            <w:shd w:val="clear" w:color="auto" w:fill="auto"/>
          </w:tcPr>
          <w:p w14:paraId="0F776C6C"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Σύστημα Διεύθυνσης</w:t>
            </w:r>
          </w:p>
        </w:tc>
        <w:tc>
          <w:tcPr>
            <w:tcW w:w="1826" w:type="dxa"/>
            <w:shd w:val="clear" w:color="auto" w:fill="auto"/>
            <w:vAlign w:val="center"/>
          </w:tcPr>
          <w:p w14:paraId="73871FC2"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174CB431" w14:textId="77777777" w:rsidTr="00E16CFB">
        <w:trPr>
          <w:jc w:val="center"/>
        </w:trPr>
        <w:tc>
          <w:tcPr>
            <w:tcW w:w="1402" w:type="dxa"/>
            <w:shd w:val="clear" w:color="auto" w:fill="auto"/>
            <w:vAlign w:val="center"/>
          </w:tcPr>
          <w:p w14:paraId="4C3BD23E"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Κ8</w:t>
            </w:r>
          </w:p>
        </w:tc>
        <w:tc>
          <w:tcPr>
            <w:tcW w:w="6378" w:type="dxa"/>
            <w:shd w:val="clear" w:color="auto" w:fill="auto"/>
          </w:tcPr>
          <w:p w14:paraId="2DFD67FF"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Σύστημα Ανάρτησης</w:t>
            </w:r>
          </w:p>
        </w:tc>
        <w:tc>
          <w:tcPr>
            <w:tcW w:w="1826" w:type="dxa"/>
            <w:shd w:val="clear" w:color="auto" w:fill="auto"/>
            <w:vAlign w:val="center"/>
          </w:tcPr>
          <w:p w14:paraId="6D8B6272"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27B151F1" w14:textId="77777777" w:rsidTr="00E16CFB">
        <w:trPr>
          <w:jc w:val="center"/>
        </w:trPr>
        <w:tc>
          <w:tcPr>
            <w:tcW w:w="1402" w:type="dxa"/>
            <w:shd w:val="clear" w:color="auto" w:fill="auto"/>
            <w:vAlign w:val="center"/>
          </w:tcPr>
          <w:p w14:paraId="74A96A2E"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Κ9</w:t>
            </w:r>
          </w:p>
        </w:tc>
        <w:tc>
          <w:tcPr>
            <w:tcW w:w="6378" w:type="dxa"/>
            <w:shd w:val="clear" w:color="auto" w:fill="auto"/>
          </w:tcPr>
          <w:p w14:paraId="225B5143"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Εξοπλισμός καμπίνας</w:t>
            </w:r>
          </w:p>
        </w:tc>
        <w:tc>
          <w:tcPr>
            <w:tcW w:w="1826" w:type="dxa"/>
            <w:shd w:val="clear" w:color="auto" w:fill="auto"/>
            <w:vAlign w:val="center"/>
          </w:tcPr>
          <w:p w14:paraId="2449363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2</w:t>
            </w:r>
          </w:p>
        </w:tc>
      </w:tr>
      <w:tr w:rsidR="00E04DC3" w:rsidRPr="00E04DC3" w14:paraId="7A6A3A69" w14:textId="77777777" w:rsidTr="00E16CFB">
        <w:trPr>
          <w:jc w:val="center"/>
        </w:trPr>
        <w:tc>
          <w:tcPr>
            <w:tcW w:w="7780" w:type="dxa"/>
            <w:gridSpan w:val="2"/>
            <w:shd w:val="clear" w:color="auto" w:fill="auto"/>
            <w:vAlign w:val="center"/>
          </w:tcPr>
          <w:p w14:paraId="58A1575A"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ΣΥΝΤΕΛΕΣΤΩΝ ΒΑΡΥΤΗΤΑΣ ΟΜΑΔΑΣ Α:</w:t>
            </w:r>
          </w:p>
        </w:tc>
        <w:tc>
          <w:tcPr>
            <w:tcW w:w="1826" w:type="dxa"/>
            <w:shd w:val="clear" w:color="auto" w:fill="auto"/>
            <w:vAlign w:val="center"/>
          </w:tcPr>
          <w:p w14:paraId="40A0F881"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17</w:t>
            </w:r>
          </w:p>
        </w:tc>
      </w:tr>
      <w:tr w:rsidR="00E04DC3" w:rsidRPr="00E04DC3" w14:paraId="08A91E49" w14:textId="77777777" w:rsidTr="00E16CFB">
        <w:trPr>
          <w:jc w:val="center"/>
        </w:trPr>
        <w:tc>
          <w:tcPr>
            <w:tcW w:w="9606" w:type="dxa"/>
            <w:gridSpan w:val="3"/>
            <w:shd w:val="clear" w:color="auto" w:fill="auto"/>
            <w:vAlign w:val="center"/>
          </w:tcPr>
          <w:p w14:paraId="584FCE45" w14:textId="77777777" w:rsidR="00E04DC3" w:rsidRPr="00E04DC3" w:rsidRDefault="00E04DC3" w:rsidP="00E04DC3">
            <w:pPr>
              <w:suppressAutoHyphens w:val="0"/>
              <w:spacing w:after="0"/>
              <w:jc w:val="left"/>
              <w:rPr>
                <w:rFonts w:eastAsia="Cambria" w:cs="Times New Roman"/>
                <w:sz w:val="24"/>
                <w:lang w:val="el-GR" w:eastAsia="el-GR"/>
              </w:rPr>
            </w:pPr>
            <w:r w:rsidRPr="00E04DC3">
              <w:rPr>
                <w:rFonts w:eastAsia="Cambria" w:cs="Times New Roman"/>
                <w:color w:val="0000FF"/>
                <w:sz w:val="24"/>
                <w:lang w:val="el-GR" w:eastAsia="el-GR"/>
              </w:rPr>
              <w:t>ΟΜΑΔΑ Β</w:t>
            </w:r>
            <w:r w:rsidRPr="00E04DC3">
              <w:rPr>
                <w:rFonts w:eastAsia="Cambria" w:cs="Times New Roman"/>
                <w:color w:val="0000FF"/>
                <w:sz w:val="24"/>
                <w:lang w:val="en-US" w:eastAsia="el-GR"/>
              </w:rPr>
              <w:t>:</w:t>
            </w:r>
            <w:r w:rsidRPr="00E04DC3">
              <w:rPr>
                <w:rFonts w:eastAsia="Cambria" w:cs="Times New Roman"/>
                <w:color w:val="0000FF"/>
                <w:sz w:val="24"/>
                <w:lang w:val="el-GR" w:eastAsia="el-GR"/>
              </w:rPr>
              <w:t xml:space="preserve">   ΥΠΕΡΚΑΤΑΣΚΕΥΗ</w:t>
            </w:r>
          </w:p>
        </w:tc>
      </w:tr>
      <w:tr w:rsidR="00E04DC3" w:rsidRPr="00E04DC3" w14:paraId="5920C53B" w14:textId="77777777" w:rsidTr="00E16CFB">
        <w:trPr>
          <w:jc w:val="center"/>
        </w:trPr>
        <w:tc>
          <w:tcPr>
            <w:tcW w:w="1402" w:type="dxa"/>
            <w:shd w:val="clear" w:color="auto" w:fill="auto"/>
            <w:vAlign w:val="center"/>
          </w:tcPr>
          <w:p w14:paraId="5AFB9B9A"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Κ10</w:t>
            </w:r>
          </w:p>
        </w:tc>
        <w:tc>
          <w:tcPr>
            <w:tcW w:w="6378" w:type="dxa"/>
            <w:shd w:val="clear" w:color="auto" w:fill="auto"/>
          </w:tcPr>
          <w:p w14:paraId="018D4EEC"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 xml:space="preserve"> Κιβωτάμαξα  - Υλικά και Τρόπος Κατασκευής</w:t>
            </w:r>
          </w:p>
        </w:tc>
        <w:tc>
          <w:tcPr>
            <w:tcW w:w="1826" w:type="dxa"/>
            <w:shd w:val="clear" w:color="auto" w:fill="auto"/>
            <w:vAlign w:val="center"/>
          </w:tcPr>
          <w:p w14:paraId="25195D6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12</w:t>
            </w:r>
          </w:p>
        </w:tc>
      </w:tr>
      <w:tr w:rsidR="00E04DC3" w:rsidRPr="00E04DC3" w14:paraId="312ACF6F" w14:textId="77777777" w:rsidTr="00E16CFB">
        <w:trPr>
          <w:jc w:val="center"/>
        </w:trPr>
        <w:tc>
          <w:tcPr>
            <w:tcW w:w="1402" w:type="dxa"/>
            <w:shd w:val="clear" w:color="auto" w:fill="auto"/>
            <w:vAlign w:val="center"/>
          </w:tcPr>
          <w:p w14:paraId="593B5018"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Κ11</w:t>
            </w:r>
          </w:p>
        </w:tc>
        <w:tc>
          <w:tcPr>
            <w:tcW w:w="6378" w:type="dxa"/>
            <w:shd w:val="clear" w:color="auto" w:fill="auto"/>
          </w:tcPr>
          <w:p w14:paraId="537CA134" w14:textId="77777777" w:rsidR="00E04DC3" w:rsidRPr="00E04DC3" w:rsidRDefault="00E04DC3" w:rsidP="00E04DC3">
            <w:pPr>
              <w:suppressAutoHyphens w:val="0"/>
              <w:spacing w:after="0"/>
              <w:rPr>
                <w:rFonts w:eastAsia="Cambria" w:cs="Times New Roman"/>
                <w:color w:val="000000"/>
                <w:sz w:val="24"/>
                <w:lang w:val="en-US" w:eastAsia="el-GR"/>
              </w:rPr>
            </w:pPr>
            <w:r w:rsidRPr="00E04DC3">
              <w:rPr>
                <w:rFonts w:eastAsia="Cambria" w:cs="Times New Roman"/>
                <w:color w:val="000000"/>
                <w:sz w:val="24"/>
                <w:lang w:val="el-GR" w:eastAsia="el-GR"/>
              </w:rPr>
              <w:t xml:space="preserve"> Σύστημα ανατροπής</w:t>
            </w:r>
          </w:p>
        </w:tc>
        <w:tc>
          <w:tcPr>
            <w:tcW w:w="1826" w:type="dxa"/>
            <w:shd w:val="clear" w:color="auto" w:fill="auto"/>
            <w:vAlign w:val="center"/>
          </w:tcPr>
          <w:p w14:paraId="6F4124B9"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5</w:t>
            </w:r>
          </w:p>
        </w:tc>
      </w:tr>
      <w:tr w:rsidR="00E04DC3" w:rsidRPr="00E04DC3" w14:paraId="701A97DC" w14:textId="77777777" w:rsidTr="00E16CFB">
        <w:trPr>
          <w:jc w:val="center"/>
        </w:trPr>
        <w:tc>
          <w:tcPr>
            <w:tcW w:w="1402" w:type="dxa"/>
            <w:shd w:val="clear" w:color="auto" w:fill="auto"/>
            <w:vAlign w:val="center"/>
          </w:tcPr>
          <w:p w14:paraId="5264A379"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Κ12</w:t>
            </w:r>
          </w:p>
        </w:tc>
        <w:tc>
          <w:tcPr>
            <w:tcW w:w="6378" w:type="dxa"/>
            <w:shd w:val="clear" w:color="auto" w:fill="auto"/>
          </w:tcPr>
          <w:p w14:paraId="79E0441A"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Χειρισμός</w:t>
            </w:r>
          </w:p>
        </w:tc>
        <w:tc>
          <w:tcPr>
            <w:tcW w:w="1826" w:type="dxa"/>
            <w:shd w:val="clear" w:color="auto" w:fill="auto"/>
            <w:vAlign w:val="center"/>
          </w:tcPr>
          <w:p w14:paraId="2BA18FE9"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3</w:t>
            </w:r>
          </w:p>
        </w:tc>
      </w:tr>
      <w:tr w:rsidR="00E04DC3" w:rsidRPr="00E04DC3" w14:paraId="4653F937" w14:textId="77777777" w:rsidTr="00E16CFB">
        <w:trPr>
          <w:jc w:val="center"/>
        </w:trPr>
        <w:tc>
          <w:tcPr>
            <w:tcW w:w="1402" w:type="dxa"/>
            <w:shd w:val="clear" w:color="auto" w:fill="auto"/>
            <w:vAlign w:val="center"/>
          </w:tcPr>
          <w:p w14:paraId="4740D84B"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Κ13</w:t>
            </w:r>
          </w:p>
        </w:tc>
        <w:tc>
          <w:tcPr>
            <w:tcW w:w="6378" w:type="dxa"/>
            <w:shd w:val="clear" w:color="auto" w:fill="auto"/>
          </w:tcPr>
          <w:p w14:paraId="1DB69B60"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Υδραυλικό σύστημα – ανατροπής</w:t>
            </w:r>
          </w:p>
        </w:tc>
        <w:tc>
          <w:tcPr>
            <w:tcW w:w="1826" w:type="dxa"/>
            <w:shd w:val="clear" w:color="auto" w:fill="auto"/>
            <w:vAlign w:val="center"/>
          </w:tcPr>
          <w:p w14:paraId="01737B7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5</w:t>
            </w:r>
          </w:p>
        </w:tc>
      </w:tr>
      <w:tr w:rsidR="00E04DC3" w:rsidRPr="00E04DC3" w14:paraId="2AA13D3E" w14:textId="77777777" w:rsidTr="00E16CFB">
        <w:trPr>
          <w:jc w:val="center"/>
        </w:trPr>
        <w:tc>
          <w:tcPr>
            <w:tcW w:w="7780" w:type="dxa"/>
            <w:gridSpan w:val="2"/>
            <w:shd w:val="clear" w:color="auto" w:fill="auto"/>
            <w:vAlign w:val="center"/>
          </w:tcPr>
          <w:p w14:paraId="1E8C9849"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ΣΥΝΤΕΛΕΣΤΩΝ ΒΑΡΥΤΗΤΑΣ ΟΜΑΔΑΣ Β:</w:t>
            </w:r>
          </w:p>
        </w:tc>
        <w:tc>
          <w:tcPr>
            <w:tcW w:w="1826" w:type="dxa"/>
            <w:shd w:val="clear" w:color="auto" w:fill="auto"/>
            <w:vAlign w:val="center"/>
          </w:tcPr>
          <w:p w14:paraId="12BAFDA4"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25</w:t>
            </w:r>
          </w:p>
        </w:tc>
      </w:tr>
      <w:tr w:rsidR="00E04DC3" w:rsidRPr="00E04DC3" w14:paraId="3FB86AA0" w14:textId="77777777" w:rsidTr="00E16CFB">
        <w:trPr>
          <w:jc w:val="center"/>
        </w:trPr>
        <w:tc>
          <w:tcPr>
            <w:tcW w:w="9606" w:type="dxa"/>
            <w:gridSpan w:val="3"/>
            <w:shd w:val="clear" w:color="auto" w:fill="auto"/>
            <w:vAlign w:val="center"/>
          </w:tcPr>
          <w:p w14:paraId="06B74400" w14:textId="77777777" w:rsidR="00E04DC3" w:rsidRPr="00E04DC3" w:rsidRDefault="00E04DC3" w:rsidP="00E04DC3">
            <w:pPr>
              <w:suppressAutoHyphens w:val="0"/>
              <w:spacing w:after="0"/>
              <w:jc w:val="left"/>
              <w:rPr>
                <w:rFonts w:eastAsia="Cambria" w:cs="Times New Roman"/>
                <w:sz w:val="24"/>
                <w:lang w:val="el-GR" w:eastAsia="el-GR"/>
              </w:rPr>
            </w:pPr>
            <w:r w:rsidRPr="00E04DC3">
              <w:rPr>
                <w:rFonts w:eastAsia="Cambria" w:cs="Times New Roman"/>
                <w:color w:val="0000FF"/>
                <w:sz w:val="24"/>
                <w:lang w:val="el-GR" w:eastAsia="el-GR"/>
              </w:rPr>
              <w:t xml:space="preserve">ΟΜΑΔΑ Γ:   ΤΕΧΝΙΚΗ ΑΞΙΑ </w:t>
            </w:r>
          </w:p>
        </w:tc>
      </w:tr>
      <w:tr w:rsidR="00E04DC3" w:rsidRPr="00E04DC3" w14:paraId="0A2634CD" w14:textId="77777777" w:rsidTr="00E16CFB">
        <w:trPr>
          <w:jc w:val="center"/>
        </w:trPr>
        <w:tc>
          <w:tcPr>
            <w:tcW w:w="1402" w:type="dxa"/>
            <w:shd w:val="clear" w:color="auto" w:fill="auto"/>
            <w:vAlign w:val="center"/>
          </w:tcPr>
          <w:p w14:paraId="20DF3F90"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Κ14</w:t>
            </w:r>
          </w:p>
        </w:tc>
        <w:tc>
          <w:tcPr>
            <w:tcW w:w="6378" w:type="dxa"/>
            <w:shd w:val="clear" w:color="auto" w:fill="auto"/>
            <w:vAlign w:val="center"/>
          </w:tcPr>
          <w:p w14:paraId="2F963D12" w14:textId="77777777" w:rsidR="00E04DC3" w:rsidRPr="00E04DC3" w:rsidRDefault="00E04DC3" w:rsidP="00E04DC3">
            <w:pPr>
              <w:suppressAutoHyphens w:val="0"/>
              <w:spacing w:after="0"/>
              <w:jc w:val="left"/>
              <w:rPr>
                <w:rFonts w:eastAsia="Cambria" w:cs="Times New Roman"/>
                <w:color w:val="000000"/>
                <w:sz w:val="24"/>
                <w:lang w:val="el-GR" w:eastAsia="el-GR"/>
              </w:rPr>
            </w:pPr>
            <w:r w:rsidRPr="00E04DC3">
              <w:rPr>
                <w:rFonts w:eastAsia="Cambria" w:cs="Times New Roman"/>
                <w:color w:val="000000"/>
                <w:sz w:val="24"/>
                <w:lang w:val="el-GR" w:eastAsia="el-GR"/>
              </w:rPr>
              <w:t>Τεχνική αξία (Λειτουργικότητα, αποδοτικότητα, αισθητικότητα του προσφερόμενου εξοπλισμού).</w:t>
            </w:r>
          </w:p>
        </w:tc>
        <w:tc>
          <w:tcPr>
            <w:tcW w:w="1826" w:type="dxa"/>
            <w:shd w:val="clear" w:color="auto" w:fill="auto"/>
            <w:vAlign w:val="center"/>
          </w:tcPr>
          <w:p w14:paraId="31B1B980"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14</w:t>
            </w:r>
          </w:p>
        </w:tc>
      </w:tr>
      <w:tr w:rsidR="00E04DC3" w:rsidRPr="00E04DC3" w14:paraId="1391AF43" w14:textId="77777777" w:rsidTr="00E16CFB">
        <w:trPr>
          <w:jc w:val="center"/>
        </w:trPr>
        <w:tc>
          <w:tcPr>
            <w:tcW w:w="7780" w:type="dxa"/>
            <w:gridSpan w:val="2"/>
            <w:shd w:val="clear" w:color="auto" w:fill="auto"/>
            <w:vAlign w:val="center"/>
          </w:tcPr>
          <w:p w14:paraId="76C45304"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ΣΥΝΤΕΛΕΣΤΩΝ ΒΑΡΥΤΗΤΑΣ ΟΜΑΔΑΣ Γ:</w:t>
            </w:r>
          </w:p>
        </w:tc>
        <w:tc>
          <w:tcPr>
            <w:tcW w:w="1826" w:type="dxa"/>
            <w:shd w:val="clear" w:color="auto" w:fill="auto"/>
            <w:vAlign w:val="center"/>
          </w:tcPr>
          <w:p w14:paraId="64B1C9A5"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14</w:t>
            </w:r>
          </w:p>
        </w:tc>
      </w:tr>
      <w:tr w:rsidR="00E04DC3" w:rsidRPr="00E04DC3" w14:paraId="50AD411A" w14:textId="77777777" w:rsidTr="00E16CFB">
        <w:trPr>
          <w:jc w:val="center"/>
        </w:trPr>
        <w:tc>
          <w:tcPr>
            <w:tcW w:w="9606" w:type="dxa"/>
            <w:gridSpan w:val="3"/>
            <w:shd w:val="clear" w:color="auto" w:fill="auto"/>
            <w:vAlign w:val="center"/>
          </w:tcPr>
          <w:p w14:paraId="56FD5B87" w14:textId="77777777" w:rsidR="00E04DC3" w:rsidRPr="00E04DC3" w:rsidRDefault="00E04DC3" w:rsidP="00E04DC3">
            <w:pPr>
              <w:suppressAutoHyphens w:val="0"/>
              <w:spacing w:after="0"/>
              <w:jc w:val="left"/>
              <w:rPr>
                <w:rFonts w:eastAsia="Cambria" w:cs="Times New Roman"/>
                <w:sz w:val="24"/>
                <w:lang w:val="el-GR" w:eastAsia="el-GR"/>
              </w:rPr>
            </w:pPr>
            <w:r w:rsidRPr="00E04DC3">
              <w:rPr>
                <w:rFonts w:eastAsia="Cambria" w:cs="Times New Roman"/>
                <w:color w:val="0000FF"/>
                <w:sz w:val="24"/>
                <w:lang w:val="el-GR" w:eastAsia="el-GR"/>
              </w:rPr>
              <w:t xml:space="preserve">ΟΜΑΔΑ Δ:   ΚΑΤΑΛΛΗΛΟΤΗΤΑ  </w:t>
            </w:r>
          </w:p>
        </w:tc>
      </w:tr>
      <w:tr w:rsidR="00E04DC3" w:rsidRPr="00E04DC3" w14:paraId="5D66A21D" w14:textId="77777777" w:rsidTr="00E16CFB">
        <w:trPr>
          <w:jc w:val="center"/>
        </w:trPr>
        <w:tc>
          <w:tcPr>
            <w:tcW w:w="1402" w:type="dxa"/>
            <w:shd w:val="clear" w:color="auto" w:fill="auto"/>
            <w:vAlign w:val="center"/>
          </w:tcPr>
          <w:p w14:paraId="21A77457"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Κ15</w:t>
            </w:r>
          </w:p>
        </w:tc>
        <w:tc>
          <w:tcPr>
            <w:tcW w:w="6378" w:type="dxa"/>
            <w:shd w:val="clear" w:color="auto" w:fill="auto"/>
            <w:vAlign w:val="center"/>
          </w:tcPr>
          <w:p w14:paraId="3026E4AE" w14:textId="77777777" w:rsidR="00E04DC3" w:rsidRPr="00E04DC3" w:rsidRDefault="00E04DC3" w:rsidP="00E04DC3">
            <w:pPr>
              <w:suppressAutoHyphens w:val="0"/>
              <w:spacing w:after="0"/>
              <w:jc w:val="left"/>
              <w:rPr>
                <w:rFonts w:eastAsia="Cambria" w:cs="Times New Roman"/>
                <w:color w:val="000000"/>
                <w:sz w:val="24"/>
                <w:lang w:val="el-GR" w:eastAsia="el-GR"/>
              </w:rPr>
            </w:pPr>
            <w:r w:rsidRPr="00E04DC3">
              <w:rPr>
                <w:rFonts w:eastAsia="Cambria" w:cs="Times New Roman"/>
                <w:color w:val="000000"/>
                <w:sz w:val="24"/>
                <w:lang w:val="el-GR" w:eastAsia="el-GR"/>
              </w:rPr>
              <w:t>Καταλληλότητα του προσφερόμενου εξοπλισμού για την εξυπηρέτηση του σκοπού για τον οποίο προορίζεται</w:t>
            </w:r>
          </w:p>
        </w:tc>
        <w:tc>
          <w:tcPr>
            <w:tcW w:w="1826" w:type="dxa"/>
            <w:shd w:val="clear" w:color="auto" w:fill="auto"/>
            <w:vAlign w:val="center"/>
          </w:tcPr>
          <w:p w14:paraId="5F1FAE17"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14</w:t>
            </w:r>
          </w:p>
        </w:tc>
      </w:tr>
      <w:tr w:rsidR="00E04DC3" w:rsidRPr="00E04DC3" w14:paraId="63184CF4" w14:textId="77777777" w:rsidTr="00E16CFB">
        <w:trPr>
          <w:jc w:val="center"/>
        </w:trPr>
        <w:tc>
          <w:tcPr>
            <w:tcW w:w="7780" w:type="dxa"/>
            <w:gridSpan w:val="2"/>
            <w:shd w:val="clear" w:color="auto" w:fill="auto"/>
            <w:vAlign w:val="center"/>
          </w:tcPr>
          <w:p w14:paraId="456612BE"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ΣΥΝΤΕΛΕΣΤΩΝ ΒΑΡΥΤΗΤΑΣ ΟΜΑΔΑΣ Δ:</w:t>
            </w:r>
          </w:p>
        </w:tc>
        <w:tc>
          <w:tcPr>
            <w:tcW w:w="1826" w:type="dxa"/>
            <w:shd w:val="clear" w:color="auto" w:fill="auto"/>
            <w:vAlign w:val="center"/>
          </w:tcPr>
          <w:p w14:paraId="77E9E58D"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14</w:t>
            </w:r>
          </w:p>
        </w:tc>
      </w:tr>
      <w:tr w:rsidR="00E04DC3" w:rsidRPr="00E04DC3" w14:paraId="470C4B2E" w14:textId="77777777" w:rsidTr="00E16CFB">
        <w:trPr>
          <w:jc w:val="center"/>
        </w:trPr>
        <w:tc>
          <w:tcPr>
            <w:tcW w:w="9606" w:type="dxa"/>
            <w:gridSpan w:val="3"/>
            <w:shd w:val="clear" w:color="auto" w:fill="auto"/>
            <w:vAlign w:val="center"/>
          </w:tcPr>
          <w:p w14:paraId="364D1ADC" w14:textId="77777777" w:rsidR="00E04DC3" w:rsidRPr="00E04DC3" w:rsidRDefault="00E04DC3" w:rsidP="00E04DC3">
            <w:pPr>
              <w:suppressAutoHyphens w:val="0"/>
              <w:spacing w:after="0"/>
              <w:jc w:val="left"/>
              <w:rPr>
                <w:rFonts w:eastAsia="Cambria" w:cs="Times New Roman"/>
                <w:sz w:val="24"/>
                <w:lang w:val="el-GR" w:eastAsia="el-GR"/>
              </w:rPr>
            </w:pPr>
            <w:r w:rsidRPr="00E04DC3">
              <w:rPr>
                <w:rFonts w:eastAsia="Cambria" w:cs="Times New Roman"/>
                <w:color w:val="0000FF"/>
                <w:sz w:val="24"/>
                <w:lang w:val="el-GR" w:eastAsia="el-GR"/>
              </w:rPr>
              <w:t xml:space="preserve">ΟΜΑΔΑ Ε:   ΤΕΧΝΙΚΗ ΥΠΟΣΤΗΡΙΞΗ   </w:t>
            </w:r>
          </w:p>
        </w:tc>
      </w:tr>
      <w:tr w:rsidR="00E04DC3" w:rsidRPr="00E04DC3" w14:paraId="42AE5F6E" w14:textId="77777777" w:rsidTr="00E16CFB">
        <w:trPr>
          <w:jc w:val="center"/>
        </w:trPr>
        <w:tc>
          <w:tcPr>
            <w:tcW w:w="1402" w:type="dxa"/>
            <w:shd w:val="clear" w:color="auto" w:fill="auto"/>
            <w:vAlign w:val="center"/>
          </w:tcPr>
          <w:p w14:paraId="3DACF4B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Κ16</w:t>
            </w:r>
          </w:p>
        </w:tc>
        <w:tc>
          <w:tcPr>
            <w:tcW w:w="6378" w:type="dxa"/>
            <w:shd w:val="clear" w:color="auto" w:fill="auto"/>
          </w:tcPr>
          <w:p w14:paraId="2F34AB28"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Εγγύηση καλής λειτουργίας.</w:t>
            </w:r>
          </w:p>
        </w:tc>
        <w:tc>
          <w:tcPr>
            <w:tcW w:w="1826" w:type="dxa"/>
            <w:shd w:val="clear" w:color="auto" w:fill="auto"/>
            <w:vAlign w:val="center"/>
          </w:tcPr>
          <w:p w14:paraId="1296EA7C"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10</w:t>
            </w:r>
          </w:p>
        </w:tc>
      </w:tr>
      <w:tr w:rsidR="00E04DC3" w:rsidRPr="00E04DC3" w14:paraId="0DA5C80D" w14:textId="77777777" w:rsidTr="00E16CFB">
        <w:trPr>
          <w:jc w:val="center"/>
        </w:trPr>
        <w:tc>
          <w:tcPr>
            <w:tcW w:w="1402" w:type="dxa"/>
            <w:shd w:val="clear" w:color="auto" w:fill="auto"/>
            <w:vAlign w:val="center"/>
          </w:tcPr>
          <w:p w14:paraId="368FC44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Κ17</w:t>
            </w:r>
          </w:p>
        </w:tc>
        <w:tc>
          <w:tcPr>
            <w:tcW w:w="6378" w:type="dxa"/>
            <w:shd w:val="clear" w:color="auto" w:fill="auto"/>
          </w:tcPr>
          <w:p w14:paraId="44696594" w14:textId="77777777" w:rsidR="00E04DC3" w:rsidRPr="00E04DC3" w:rsidRDefault="00E04DC3" w:rsidP="00E04DC3">
            <w:pPr>
              <w:suppressAutoHyphens w:val="0"/>
              <w:spacing w:after="0"/>
              <w:jc w:val="left"/>
              <w:rPr>
                <w:rFonts w:eastAsia="Cambria" w:cs="Times New Roman"/>
                <w:color w:val="000000"/>
                <w:sz w:val="24"/>
                <w:lang w:val="el-GR" w:eastAsia="el-GR"/>
              </w:rPr>
            </w:pPr>
            <w:r w:rsidRPr="00E04DC3">
              <w:rPr>
                <w:rFonts w:eastAsia="Cambria" w:cs="Times New Roman"/>
                <w:color w:val="000000"/>
                <w:sz w:val="24"/>
                <w:lang w:val="el-GR" w:eastAsia="el-GR"/>
              </w:rPr>
              <w:t xml:space="preserve">Εκπαίδευση χειριστών, ανταλλακτικά, χρόνος παράδοσης </w:t>
            </w:r>
            <w:r w:rsidRPr="00E04DC3">
              <w:rPr>
                <w:rFonts w:eastAsia="Cambria" w:cs="Times New Roman"/>
                <w:color w:val="000000"/>
                <w:sz w:val="24"/>
                <w:lang w:val="el-GR" w:eastAsia="el-GR"/>
              </w:rPr>
              <w:lastRenderedPageBreak/>
              <w:t>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826" w:type="dxa"/>
            <w:shd w:val="clear" w:color="auto" w:fill="auto"/>
            <w:vAlign w:val="center"/>
          </w:tcPr>
          <w:p w14:paraId="1A6AC8CB"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lastRenderedPageBreak/>
              <w:t>15</w:t>
            </w:r>
          </w:p>
        </w:tc>
      </w:tr>
      <w:tr w:rsidR="00E04DC3" w:rsidRPr="00E04DC3" w14:paraId="1C5D245F" w14:textId="77777777" w:rsidTr="00E16CFB">
        <w:trPr>
          <w:jc w:val="center"/>
        </w:trPr>
        <w:tc>
          <w:tcPr>
            <w:tcW w:w="1402" w:type="dxa"/>
            <w:shd w:val="clear" w:color="auto" w:fill="auto"/>
            <w:vAlign w:val="center"/>
          </w:tcPr>
          <w:p w14:paraId="2BF845F5"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lastRenderedPageBreak/>
              <w:t>Κ18</w:t>
            </w:r>
          </w:p>
        </w:tc>
        <w:tc>
          <w:tcPr>
            <w:tcW w:w="6378" w:type="dxa"/>
            <w:shd w:val="clear" w:color="auto" w:fill="auto"/>
          </w:tcPr>
          <w:p w14:paraId="6EA09A6C" w14:textId="77777777" w:rsidR="00E04DC3" w:rsidRPr="00E04DC3" w:rsidRDefault="00E04DC3" w:rsidP="00E04DC3">
            <w:pPr>
              <w:suppressAutoHyphens w:val="0"/>
              <w:spacing w:after="0"/>
              <w:rPr>
                <w:rFonts w:eastAsia="Cambria" w:cs="Times New Roman"/>
                <w:color w:val="000000"/>
                <w:sz w:val="24"/>
                <w:lang w:val="el-GR" w:eastAsia="el-GR"/>
              </w:rPr>
            </w:pPr>
            <w:r w:rsidRPr="00E04DC3">
              <w:rPr>
                <w:rFonts w:eastAsia="Cambria" w:cs="Times New Roman"/>
                <w:color w:val="000000"/>
                <w:sz w:val="24"/>
                <w:lang w:val="el-GR" w:eastAsia="el-GR"/>
              </w:rPr>
              <w:t>Χρόνος   παράδοσης.</w:t>
            </w:r>
          </w:p>
        </w:tc>
        <w:tc>
          <w:tcPr>
            <w:tcW w:w="1826" w:type="dxa"/>
            <w:shd w:val="clear" w:color="auto" w:fill="auto"/>
            <w:vAlign w:val="center"/>
          </w:tcPr>
          <w:p w14:paraId="225119F2" w14:textId="77777777" w:rsidR="00E04DC3" w:rsidRPr="00E04DC3" w:rsidRDefault="00E04DC3" w:rsidP="00E04DC3">
            <w:pPr>
              <w:suppressAutoHyphens w:val="0"/>
              <w:spacing w:after="0"/>
              <w:jc w:val="center"/>
              <w:rPr>
                <w:rFonts w:eastAsia="Cambria" w:cs="Times New Roman"/>
                <w:sz w:val="24"/>
                <w:lang w:val="el-GR" w:eastAsia="el-GR"/>
              </w:rPr>
            </w:pPr>
            <w:r w:rsidRPr="00E04DC3">
              <w:rPr>
                <w:rFonts w:eastAsia="Cambria" w:cs="Times New Roman"/>
                <w:sz w:val="24"/>
                <w:lang w:val="el-GR" w:eastAsia="el-GR"/>
              </w:rPr>
              <w:t>5</w:t>
            </w:r>
          </w:p>
        </w:tc>
      </w:tr>
      <w:tr w:rsidR="00E04DC3" w:rsidRPr="00E04DC3" w14:paraId="1B7CDA71" w14:textId="77777777" w:rsidTr="00E16CFB">
        <w:trPr>
          <w:jc w:val="center"/>
        </w:trPr>
        <w:tc>
          <w:tcPr>
            <w:tcW w:w="7780" w:type="dxa"/>
            <w:gridSpan w:val="2"/>
            <w:shd w:val="clear" w:color="auto" w:fill="auto"/>
            <w:vAlign w:val="center"/>
          </w:tcPr>
          <w:p w14:paraId="3C49009E"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ΣΥΝΤΕΛΕΣΤΩΝ ΒΑΡΥΤΗΤΑΣ ΟΜΑΔΑΣ Ε:</w:t>
            </w:r>
          </w:p>
        </w:tc>
        <w:tc>
          <w:tcPr>
            <w:tcW w:w="1826" w:type="dxa"/>
            <w:shd w:val="clear" w:color="auto" w:fill="auto"/>
            <w:vAlign w:val="center"/>
          </w:tcPr>
          <w:p w14:paraId="57A97867"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30</w:t>
            </w:r>
          </w:p>
        </w:tc>
      </w:tr>
      <w:tr w:rsidR="00E04DC3" w:rsidRPr="00E04DC3" w14:paraId="04DEAF71" w14:textId="77777777" w:rsidTr="00E16CFB">
        <w:trPr>
          <w:jc w:val="center"/>
        </w:trPr>
        <w:tc>
          <w:tcPr>
            <w:tcW w:w="7780" w:type="dxa"/>
            <w:gridSpan w:val="2"/>
            <w:shd w:val="clear" w:color="auto" w:fill="auto"/>
            <w:vAlign w:val="center"/>
          </w:tcPr>
          <w:p w14:paraId="1FD4DE6B" w14:textId="77777777" w:rsidR="00E04DC3" w:rsidRPr="00E04DC3" w:rsidRDefault="00E04DC3" w:rsidP="00E04DC3">
            <w:pPr>
              <w:suppressAutoHyphens w:val="0"/>
              <w:spacing w:after="0"/>
              <w:jc w:val="left"/>
              <w:rPr>
                <w:rFonts w:eastAsia="Cambria" w:cs="Times New Roman"/>
                <w:color w:val="0000FF"/>
                <w:sz w:val="24"/>
                <w:lang w:val="el-GR" w:eastAsia="el-GR"/>
              </w:rPr>
            </w:pPr>
            <w:r w:rsidRPr="00E04DC3">
              <w:rPr>
                <w:rFonts w:eastAsia="Cambria" w:cs="Times New Roman"/>
                <w:color w:val="0000FF"/>
                <w:sz w:val="24"/>
                <w:lang w:val="el-GR" w:eastAsia="el-GR"/>
              </w:rPr>
              <w:t>ΑΘΡΟΙΣΜΑ ΣΥΝΟΛΟΥ ΣΥΝΤΕΛΕΣΤΩΝ ΒΑΡΥΤΗΤΑΣ Α+Β+Γ+Δ+Ε:</w:t>
            </w:r>
          </w:p>
        </w:tc>
        <w:tc>
          <w:tcPr>
            <w:tcW w:w="1826" w:type="dxa"/>
            <w:shd w:val="clear" w:color="auto" w:fill="auto"/>
            <w:vAlign w:val="center"/>
          </w:tcPr>
          <w:p w14:paraId="44657FA5" w14:textId="77777777" w:rsidR="00E04DC3" w:rsidRPr="00E04DC3" w:rsidRDefault="00E04DC3" w:rsidP="00E04DC3">
            <w:pPr>
              <w:suppressAutoHyphens w:val="0"/>
              <w:spacing w:after="0"/>
              <w:jc w:val="center"/>
              <w:rPr>
                <w:rFonts w:eastAsia="Cambria" w:cs="Times New Roman"/>
                <w:b/>
                <w:color w:val="0000FF"/>
                <w:sz w:val="24"/>
                <w:lang w:val="el-GR" w:eastAsia="el-GR"/>
              </w:rPr>
            </w:pPr>
            <w:r w:rsidRPr="00E04DC3">
              <w:rPr>
                <w:rFonts w:eastAsia="Cambria" w:cs="Times New Roman"/>
                <w:b/>
                <w:color w:val="0000FF"/>
                <w:sz w:val="24"/>
                <w:lang w:val="el-GR" w:eastAsia="el-GR"/>
              </w:rPr>
              <w:t>100</w:t>
            </w:r>
          </w:p>
        </w:tc>
      </w:tr>
    </w:tbl>
    <w:p w14:paraId="6DFD3500" w14:textId="77777777" w:rsidR="00E04DC3" w:rsidRPr="00E04DC3" w:rsidRDefault="00E04DC3" w:rsidP="00E04DC3">
      <w:pPr>
        <w:suppressAutoHyphens w:val="0"/>
        <w:spacing w:after="0" w:line="259" w:lineRule="auto"/>
        <w:rPr>
          <w:sz w:val="24"/>
          <w:lang w:val="el-GR" w:eastAsia="el-GR"/>
        </w:rPr>
      </w:pPr>
    </w:p>
    <w:p w14:paraId="25E72E9F"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14:paraId="30F459B6" w14:textId="77777777" w:rsidR="00E04DC3" w:rsidRPr="00E04DC3" w:rsidRDefault="00E04DC3" w:rsidP="00E04DC3">
      <w:pPr>
        <w:suppressAutoHyphens w:val="0"/>
        <w:spacing w:after="0" w:line="276" w:lineRule="auto"/>
        <w:rPr>
          <w:b/>
          <w:sz w:val="24"/>
          <w:lang w:val="el-GR" w:eastAsia="el-GR"/>
        </w:rPr>
      </w:pPr>
    </w:p>
    <w:p w14:paraId="29226DB1"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b/>
          <w:sz w:val="24"/>
          <w:lang w:val="el-GR" w:eastAsia="el-GR"/>
        </w:rPr>
        <w:t xml:space="preserve"> </w:t>
      </w:r>
      <w:r w:rsidRPr="00E04DC3">
        <w:rPr>
          <w:rFonts w:ascii="Times New Roman" w:hAnsi="Times New Roman" w:cs="Times New Roman"/>
          <w:szCs w:val="22"/>
          <w:lang w:val="el-GR" w:eastAsia="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14:paraId="28D6D939"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 xml:space="preserve">Κάθε κριτήριο αξιολόγησης βαθμολογείται αυτόνομα με βάση τα στοιχεία της προσφοράς. </w:t>
      </w:r>
    </w:p>
    <w:p w14:paraId="555822D8"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313D88B8"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 xml:space="preserve">Η συνολική βαθμολογία της τεχνικής προσφοράς υπολογίζεται με βάση τον παρακάτω τύπο: </w:t>
      </w:r>
    </w:p>
    <w:p w14:paraId="20B2C2ED"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 xml:space="preserve">U = σ1 </w:t>
      </w:r>
      <w:r w:rsidRPr="00E04DC3">
        <w:rPr>
          <w:rFonts w:ascii="Times New Roman" w:hAnsi="Times New Roman" w:cs="Times New Roman"/>
          <w:szCs w:val="22"/>
          <w:lang w:val="en-US" w:eastAsia="el-GR"/>
        </w:rPr>
        <w:t>x</w:t>
      </w:r>
      <w:r w:rsidRPr="00E04DC3">
        <w:rPr>
          <w:rFonts w:ascii="Times New Roman" w:hAnsi="Times New Roman" w:cs="Times New Roman"/>
          <w:szCs w:val="22"/>
          <w:lang w:val="el-GR" w:eastAsia="el-GR"/>
        </w:rPr>
        <w:t xml:space="preserve"> Κ1 + σ2 </w:t>
      </w:r>
      <w:r w:rsidRPr="00E04DC3">
        <w:rPr>
          <w:rFonts w:ascii="Times New Roman" w:hAnsi="Times New Roman" w:cs="Times New Roman"/>
          <w:szCs w:val="22"/>
          <w:lang w:val="en-US" w:eastAsia="el-GR"/>
        </w:rPr>
        <w:t>x</w:t>
      </w:r>
      <w:r w:rsidRPr="00E04DC3">
        <w:rPr>
          <w:rFonts w:ascii="Times New Roman" w:hAnsi="Times New Roman" w:cs="Times New Roman"/>
          <w:szCs w:val="22"/>
          <w:lang w:val="el-GR" w:eastAsia="el-GR"/>
        </w:rPr>
        <w:t xml:space="preserve"> Κ2 + …… + σν </w:t>
      </w:r>
      <w:r w:rsidRPr="00E04DC3">
        <w:rPr>
          <w:rFonts w:ascii="Times New Roman" w:hAnsi="Times New Roman" w:cs="Times New Roman"/>
          <w:szCs w:val="22"/>
          <w:lang w:val="en-US" w:eastAsia="el-GR"/>
        </w:rPr>
        <w:t>x</w:t>
      </w:r>
      <w:r w:rsidRPr="00E04DC3">
        <w:rPr>
          <w:rFonts w:ascii="Times New Roman" w:hAnsi="Times New Roman" w:cs="Times New Roman"/>
          <w:szCs w:val="22"/>
          <w:lang w:val="el-GR" w:eastAsia="el-GR"/>
        </w:rPr>
        <w:t xml:space="preserve"> </w:t>
      </w:r>
      <w:proofErr w:type="spellStart"/>
      <w:r w:rsidRPr="00E04DC3">
        <w:rPr>
          <w:rFonts w:ascii="Times New Roman" w:hAnsi="Times New Roman" w:cs="Times New Roman"/>
          <w:szCs w:val="22"/>
          <w:lang w:val="el-GR" w:eastAsia="el-GR"/>
        </w:rPr>
        <w:t>Κν</w:t>
      </w:r>
      <w:proofErr w:type="spellEnd"/>
    </w:p>
    <w:p w14:paraId="04ECCDE6"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 xml:space="preserve">όπου: σν είναι ο συντελεστής βαρύτητας του κριτηρίου </w:t>
      </w:r>
      <w:proofErr w:type="spellStart"/>
      <w:r w:rsidRPr="00E04DC3">
        <w:rPr>
          <w:rFonts w:ascii="Times New Roman" w:hAnsi="Times New Roman" w:cs="Times New Roman"/>
          <w:szCs w:val="22"/>
          <w:lang w:val="el-GR" w:eastAsia="el-GR"/>
        </w:rPr>
        <w:t>Κν</w:t>
      </w:r>
      <w:proofErr w:type="spellEnd"/>
      <w:r w:rsidRPr="00E04DC3">
        <w:rPr>
          <w:rFonts w:ascii="Times New Roman" w:hAnsi="Times New Roman" w:cs="Times New Roman"/>
          <w:szCs w:val="22"/>
          <w:lang w:val="el-GR" w:eastAsia="el-GR"/>
        </w:rPr>
        <w:t xml:space="preserve"> και ισχύει</w:t>
      </w:r>
    </w:p>
    <w:p w14:paraId="0BA3B531"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σ1 + σ2 + … + σν = 1 (100%)</w:t>
      </w:r>
    </w:p>
    <w:p w14:paraId="226ADAF7"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14:paraId="785EF81D" w14:textId="77777777" w:rsidR="00E04DC3" w:rsidRPr="00E04DC3" w:rsidRDefault="00E04DC3" w:rsidP="00E04DC3">
      <w:pPr>
        <w:suppressAutoHyphens w:val="0"/>
        <w:spacing w:after="0" w:line="276" w:lineRule="auto"/>
        <w:rPr>
          <w:rFonts w:ascii="Times New Roman" w:hAnsi="Times New Roman" w:cs="Times New Roman"/>
          <w:szCs w:val="22"/>
          <w:lang w:val="el-GR" w:eastAsia="el-GR"/>
        </w:rPr>
      </w:pPr>
      <w:r w:rsidRPr="00E04DC3">
        <w:rPr>
          <w:rFonts w:ascii="Times New Roman" w:hAnsi="Times New Roman" w:cs="Times New Roman"/>
          <w:szCs w:val="22"/>
          <w:lang w:val="el-GR" w:eastAsia="el-GR"/>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14:paraId="6E616E30" w14:textId="77777777" w:rsidR="00E04DC3" w:rsidRPr="00E04DC3" w:rsidRDefault="00E04DC3" w:rsidP="00E04DC3">
      <w:pPr>
        <w:suppressAutoHyphens w:val="0"/>
        <w:spacing w:after="0" w:line="120" w:lineRule="auto"/>
        <w:rPr>
          <w:rFonts w:ascii="Times New Roman" w:hAnsi="Times New Roman" w:cs="Times New Roman"/>
          <w:szCs w:val="22"/>
          <w:lang w:val="el-GR" w:eastAsia="el-GR"/>
        </w:rPr>
      </w:pPr>
    </w:p>
    <w:tbl>
      <w:tblPr>
        <w:tblW w:w="0" w:type="auto"/>
        <w:tblInd w:w="164" w:type="dxa"/>
        <w:tblLayout w:type="fixed"/>
        <w:tblLook w:val="0000" w:firstRow="0" w:lastRow="0" w:firstColumn="0" w:lastColumn="0" w:noHBand="0" w:noVBand="0"/>
      </w:tblPr>
      <w:tblGrid>
        <w:gridCol w:w="450"/>
        <w:gridCol w:w="436"/>
        <w:gridCol w:w="4550"/>
      </w:tblGrid>
      <w:tr w:rsidR="00E04DC3" w:rsidRPr="00E04DC3" w14:paraId="3093838C" w14:textId="77777777" w:rsidTr="00E16CFB">
        <w:trPr>
          <w:cantSplit/>
          <w:trHeight w:val="458"/>
        </w:trPr>
        <w:tc>
          <w:tcPr>
            <w:tcW w:w="450" w:type="dxa"/>
            <w:vMerge w:val="restart"/>
            <w:shd w:val="clear" w:color="auto" w:fill="auto"/>
            <w:vAlign w:val="center"/>
          </w:tcPr>
          <w:p w14:paraId="2ACD18CE"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r w:rsidRPr="00E04DC3">
              <w:rPr>
                <w:rFonts w:ascii="Times New Roman" w:hAnsi="Times New Roman" w:cs="Times New Roman"/>
                <w:szCs w:val="22"/>
                <w:lang w:val="el-GR" w:eastAsia="el-GR"/>
              </w:rPr>
              <w:t>Λ</w:t>
            </w:r>
          </w:p>
        </w:tc>
        <w:tc>
          <w:tcPr>
            <w:tcW w:w="436" w:type="dxa"/>
            <w:vMerge w:val="restart"/>
            <w:shd w:val="clear" w:color="auto" w:fill="auto"/>
            <w:vAlign w:val="center"/>
          </w:tcPr>
          <w:p w14:paraId="193D69EF"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r w:rsidRPr="00E04DC3">
              <w:rPr>
                <w:rFonts w:ascii="Times New Roman" w:hAnsi="Times New Roman" w:cs="Times New Roman"/>
                <w:szCs w:val="22"/>
                <w:lang w:val="el-GR" w:eastAsia="el-GR"/>
              </w:rPr>
              <w:t>=</w:t>
            </w:r>
          </w:p>
        </w:tc>
        <w:tc>
          <w:tcPr>
            <w:tcW w:w="4550" w:type="dxa"/>
            <w:tcBorders>
              <w:bottom w:val="single" w:sz="4" w:space="0" w:color="000000"/>
            </w:tcBorders>
            <w:shd w:val="clear" w:color="auto" w:fill="auto"/>
            <w:vAlign w:val="center"/>
          </w:tcPr>
          <w:p w14:paraId="6415BA28"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r w:rsidRPr="00E04DC3">
              <w:rPr>
                <w:rFonts w:ascii="Times New Roman" w:hAnsi="Times New Roman" w:cs="Times New Roman"/>
                <w:szCs w:val="22"/>
                <w:lang w:val="el-GR" w:eastAsia="el-GR"/>
              </w:rPr>
              <w:t>Προσφερθείσα τιμή</w:t>
            </w:r>
          </w:p>
        </w:tc>
      </w:tr>
      <w:tr w:rsidR="00E04DC3" w:rsidRPr="00E04DC3" w14:paraId="2EF50B3E" w14:textId="77777777" w:rsidTr="00E16CFB">
        <w:trPr>
          <w:cantSplit/>
        </w:trPr>
        <w:tc>
          <w:tcPr>
            <w:tcW w:w="450" w:type="dxa"/>
            <w:vMerge/>
            <w:shd w:val="clear" w:color="auto" w:fill="auto"/>
            <w:vAlign w:val="center"/>
          </w:tcPr>
          <w:p w14:paraId="262A64BB"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p>
        </w:tc>
        <w:tc>
          <w:tcPr>
            <w:tcW w:w="436" w:type="dxa"/>
            <w:vMerge/>
            <w:shd w:val="clear" w:color="auto" w:fill="auto"/>
            <w:vAlign w:val="center"/>
          </w:tcPr>
          <w:p w14:paraId="43672FBA"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p>
        </w:tc>
        <w:tc>
          <w:tcPr>
            <w:tcW w:w="4550" w:type="dxa"/>
            <w:tcBorders>
              <w:top w:val="single" w:sz="4" w:space="0" w:color="000000"/>
            </w:tcBorders>
            <w:shd w:val="clear" w:color="auto" w:fill="auto"/>
            <w:vAlign w:val="center"/>
          </w:tcPr>
          <w:p w14:paraId="689ECB95" w14:textId="77777777" w:rsidR="00E04DC3" w:rsidRPr="00E04DC3" w:rsidRDefault="00E04DC3" w:rsidP="00E04DC3">
            <w:pPr>
              <w:suppressAutoHyphens w:val="0"/>
              <w:spacing w:after="0" w:line="360" w:lineRule="auto"/>
              <w:rPr>
                <w:rFonts w:ascii="Times New Roman" w:hAnsi="Times New Roman" w:cs="Times New Roman"/>
                <w:sz w:val="24"/>
                <w:lang w:val="el-GR" w:eastAsia="el-GR"/>
              </w:rPr>
            </w:pPr>
            <w:r w:rsidRPr="00E04DC3">
              <w:rPr>
                <w:rFonts w:ascii="Times New Roman" w:hAnsi="Times New Roman" w:cs="Times New Roman"/>
                <w:szCs w:val="22"/>
                <w:lang w:val="el-GR" w:eastAsia="el-GR"/>
              </w:rPr>
              <w:t>Τελική βαθμολογία τεχνικής προσφοράς</w:t>
            </w:r>
          </w:p>
        </w:tc>
      </w:tr>
    </w:tbl>
    <w:p w14:paraId="09BD0386" w14:textId="77777777" w:rsidR="00E04DC3" w:rsidRPr="00E04DC3" w:rsidRDefault="00E04DC3" w:rsidP="00E04DC3">
      <w:pPr>
        <w:suppressAutoHyphens w:val="0"/>
        <w:spacing w:after="0" w:line="259" w:lineRule="auto"/>
        <w:rPr>
          <w:sz w:val="24"/>
          <w:lang w:val="el-GR" w:eastAsia="el-GR"/>
        </w:rPr>
      </w:pPr>
    </w:p>
    <w:p w14:paraId="23BC5453" w14:textId="77777777" w:rsidR="00E04DC3" w:rsidRPr="00ED1C0D" w:rsidRDefault="00E04DC3" w:rsidP="00E04DC3">
      <w:pPr>
        <w:spacing w:before="57" w:after="57"/>
        <w:rPr>
          <w:b/>
          <w:sz w:val="28"/>
          <w:szCs w:val="28"/>
          <w:u w:val="single"/>
          <w:lang w:val="el-GR"/>
        </w:rPr>
      </w:pPr>
    </w:p>
    <w:p w14:paraId="62D2E76B" w14:textId="77777777" w:rsidR="00744B70" w:rsidRPr="00744B70" w:rsidRDefault="00744B70" w:rsidP="00744B70">
      <w:pPr>
        <w:rPr>
          <w:lang w:val="el-GR"/>
        </w:rPr>
      </w:pPr>
    </w:p>
    <w:p w14:paraId="5738F96B" w14:textId="77777777" w:rsidR="00BC0A0D" w:rsidRDefault="00BC0A0D">
      <w:pPr>
        <w:spacing w:before="57" w:after="57"/>
        <w:rPr>
          <w:lang w:val="el-GR"/>
        </w:rPr>
      </w:pPr>
    </w:p>
    <w:p w14:paraId="45FE24B8" w14:textId="77777777" w:rsidR="003929DA" w:rsidRDefault="00E20E70">
      <w:pPr>
        <w:spacing w:before="57" w:after="57"/>
        <w:rPr>
          <w:lang w:val="el-GR"/>
        </w:rPr>
      </w:pPr>
      <w:r>
        <w:rPr>
          <w:lang w:val="el-GR"/>
        </w:rPr>
        <w:br w:type="page"/>
      </w:r>
    </w:p>
    <w:p w14:paraId="41D3918B" w14:textId="554F0D18" w:rsidR="00E20E70" w:rsidRDefault="00E20E70" w:rsidP="00E20E70">
      <w:pPr>
        <w:pStyle w:val="2"/>
        <w:tabs>
          <w:tab w:val="clear" w:pos="567"/>
          <w:tab w:val="left" w:pos="0"/>
        </w:tabs>
        <w:spacing w:before="57" w:after="57"/>
        <w:ind w:left="0" w:firstLine="0"/>
        <w:rPr>
          <w:lang w:val="el-GR"/>
        </w:rPr>
      </w:pPr>
      <w:bookmarkStart w:id="77" w:name="_Toc129004475"/>
      <w:r>
        <w:rPr>
          <w:lang w:val="el-GR"/>
        </w:rPr>
        <w:lastRenderedPageBreak/>
        <w:t xml:space="preserve">ΠΑΡΑΡΤΗΜΑ </w:t>
      </w:r>
      <w:r w:rsidR="00ED1C0D">
        <w:rPr>
          <w:lang w:val="en-US"/>
        </w:rPr>
        <w:t>V</w:t>
      </w:r>
      <w:r>
        <w:rPr>
          <w:lang w:val="el-GR"/>
        </w:rPr>
        <w:t xml:space="preserve"> – Υπόδειγμα </w:t>
      </w:r>
      <w:r w:rsidR="00223492">
        <w:rPr>
          <w:lang w:val="el-GR"/>
        </w:rPr>
        <w:t xml:space="preserve">περιεχομένου </w:t>
      </w:r>
      <w:r>
        <w:rPr>
          <w:lang w:val="el-GR"/>
        </w:rPr>
        <w:t>Υ.Δ. περί μη ρωσικής εμπλοκής</w:t>
      </w:r>
      <w:bookmarkEnd w:id="77"/>
      <w:r w:rsidR="0037670C">
        <w:rPr>
          <w:lang w:val="el-GR"/>
        </w:rPr>
        <w:t xml:space="preserve"> </w:t>
      </w:r>
    </w:p>
    <w:p w14:paraId="6C834E25" w14:textId="77777777" w:rsidR="003929DA" w:rsidRDefault="003929DA">
      <w:pPr>
        <w:rPr>
          <w:lang w:val="el-GR"/>
        </w:rPr>
      </w:pPr>
    </w:p>
    <w:p w14:paraId="0459DAAE" w14:textId="77777777" w:rsidR="0037670C" w:rsidRDefault="0037670C">
      <w:pPr>
        <w:rPr>
          <w:lang w:val="el-GR"/>
        </w:rPr>
      </w:pPr>
      <w:r>
        <w:rPr>
          <w:lang w:val="el-GR"/>
        </w:rPr>
        <w:t xml:space="preserve">Το περιεχόμενο της Υ.Δ. </w:t>
      </w:r>
      <w:r w:rsidR="007D265B">
        <w:rPr>
          <w:lang w:val="el-GR"/>
        </w:rPr>
        <w:t xml:space="preserve">περί </w:t>
      </w:r>
      <w:r>
        <w:rPr>
          <w:lang w:val="el-GR"/>
        </w:rPr>
        <w:t>της μη συνδρομής των καταστάσεων ρωσικής εμπλοκής</w:t>
      </w:r>
      <w:r w:rsidR="00741A76">
        <w:rPr>
          <w:lang w:val="el-GR"/>
        </w:rPr>
        <w:t xml:space="preserve">, </w:t>
      </w:r>
      <w:r>
        <w:rPr>
          <w:lang w:val="el-GR"/>
        </w:rPr>
        <w:t xml:space="preserve"> που περιγράφονται στην παρ. 2.2.3</w:t>
      </w:r>
      <w:r w:rsidR="00000C5E">
        <w:rPr>
          <w:lang w:val="el-GR"/>
        </w:rPr>
        <w:t>.</w:t>
      </w:r>
      <w:r>
        <w:rPr>
          <w:lang w:val="el-GR"/>
        </w:rPr>
        <w:t>.5.α της παρούσας</w:t>
      </w:r>
      <w:r w:rsidR="00741A76">
        <w:rPr>
          <w:lang w:val="el-GR"/>
        </w:rPr>
        <w:t xml:space="preserve">, </w:t>
      </w:r>
      <w:r>
        <w:rPr>
          <w:lang w:val="el-GR"/>
        </w:rPr>
        <w:t>είναι το ακόλουθο:</w:t>
      </w:r>
    </w:p>
    <w:p w14:paraId="0626F4CB" w14:textId="77777777" w:rsidR="0037670C" w:rsidRPr="00BD07AC" w:rsidRDefault="0037670C">
      <w:pPr>
        <w:rPr>
          <w:i/>
          <w:lang w:val="el-GR"/>
        </w:rPr>
      </w:pPr>
      <w:r w:rsidRPr="00BD07AC">
        <w:rPr>
          <w:i/>
          <w:lang w:val="el-GR"/>
        </w:rPr>
        <w:t>«Δηλώνω υπεύθυνα ότι δε</w:t>
      </w:r>
      <w:r w:rsidR="00CA3AF4" w:rsidRPr="00BD07AC">
        <w:rPr>
          <w:i/>
          <w:lang w:val="el-GR"/>
        </w:rPr>
        <w:t xml:space="preserve">ν υπάρχει ρωσική συμμετοχή στον οικονομικό φορέα </w:t>
      </w:r>
      <w:r w:rsidRPr="00BD07AC">
        <w:rPr>
          <w:i/>
          <w:lang w:val="el-GR"/>
        </w:rPr>
        <w:t>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sidR="00D75CAB">
        <w:rPr>
          <w:i/>
          <w:lang w:val="el-GR"/>
        </w:rPr>
        <w:t>6</w:t>
      </w:r>
      <w:r w:rsidRPr="00BD07AC">
        <w:rPr>
          <w:i/>
          <w:lang w:val="el-GR"/>
        </w:rPr>
        <w:t xml:space="preserve"> Κανονισμό του Συμβουλίου (ΕΕ) της 8ης Απριλίου 2022. </w:t>
      </w:r>
    </w:p>
    <w:p w14:paraId="1F89D056" w14:textId="77777777" w:rsidR="0037670C" w:rsidRPr="00BD07AC" w:rsidRDefault="0037670C">
      <w:pPr>
        <w:rPr>
          <w:i/>
          <w:lang w:val="el-GR"/>
        </w:rPr>
      </w:pPr>
      <w:r w:rsidRPr="00BD07AC">
        <w:rPr>
          <w:i/>
          <w:lang w:val="el-GR"/>
        </w:rPr>
        <w:t xml:space="preserve">Συγκεκριμένα δηλώνω ότι: </w:t>
      </w:r>
    </w:p>
    <w:p w14:paraId="050A3CC0" w14:textId="77777777" w:rsidR="0037670C" w:rsidRPr="00BD07AC" w:rsidRDefault="0037670C">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sidR="00E70D21">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74C94C7E" w14:textId="77777777" w:rsidR="0037670C" w:rsidRPr="00BD07AC" w:rsidRDefault="0037670C">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9886732" w14:textId="2EDDF214" w:rsidR="0037670C" w:rsidRPr="00BD07AC" w:rsidRDefault="0037670C">
      <w:pPr>
        <w:rPr>
          <w:i/>
          <w:lang w:val="el-GR"/>
        </w:rPr>
      </w:pPr>
      <w:r w:rsidRPr="00BD07AC">
        <w:rPr>
          <w:i/>
          <w:lang w:val="el-GR"/>
        </w:rPr>
        <w:t xml:space="preserve">(γ) </w:t>
      </w:r>
      <w:r w:rsidR="00DB6FB8">
        <w:rPr>
          <w:i/>
          <w:lang w:val="el-GR"/>
        </w:rPr>
        <w:t xml:space="preserve">τόσο </w:t>
      </w:r>
      <w:r w:rsidRPr="00BD07AC">
        <w:rPr>
          <w:i/>
          <w:lang w:val="el-GR"/>
        </w:rPr>
        <w:t xml:space="preserve"> ο υπεύθυνα δηλώνων</w:t>
      </w:r>
      <w:r w:rsidR="00DB6FB8">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sidR="00223492">
        <w:rPr>
          <w:i/>
          <w:lang w:val="el-GR"/>
        </w:rPr>
        <w:t>α</w:t>
      </w:r>
      <w:r w:rsidRPr="00BD07AC">
        <w:rPr>
          <w:i/>
          <w:lang w:val="el-GR"/>
        </w:rPr>
        <w:t xml:space="preserve"> σημεί</w:t>
      </w:r>
      <w:r w:rsidR="00223492">
        <w:rPr>
          <w:i/>
          <w:lang w:val="el-GR"/>
        </w:rPr>
        <w:t xml:space="preserve">α </w:t>
      </w:r>
      <w:r w:rsidRPr="00BD07AC">
        <w:rPr>
          <w:i/>
          <w:lang w:val="el-GR"/>
        </w:rPr>
        <w:t xml:space="preserve">(α) ή (β) παραπάνω, </w:t>
      </w:r>
    </w:p>
    <w:p w14:paraId="30EBD8E2" w14:textId="77777777" w:rsidR="00E20E70" w:rsidRDefault="0037670C">
      <w:pPr>
        <w:rPr>
          <w:lang w:val="el-GR"/>
        </w:rPr>
      </w:pPr>
      <w:r w:rsidRPr="0037670C">
        <w:rPr>
          <w:lang w:val="el-GR"/>
        </w:rPr>
        <w:t>(</w:t>
      </w:r>
      <w:r w:rsidRPr="002667D1">
        <w:rPr>
          <w:i/>
          <w:lang w:val="el-GR"/>
        </w:rPr>
        <w:t xml:space="preserve">δ) δεν υπάρχει συμμετοχή φορέων και οντοτήτων που απαριθμούνται στα ανωτέρω </w:t>
      </w:r>
      <w:r w:rsidR="00223492" w:rsidRPr="002667D1">
        <w:rPr>
          <w:i/>
          <w:lang w:val="el-GR"/>
        </w:rPr>
        <w:t>σημεία</w:t>
      </w:r>
      <w:r w:rsidRPr="002667D1">
        <w:rPr>
          <w:i/>
          <w:lang w:val="el-GR"/>
        </w:rPr>
        <w:t xml:space="preserve">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62EC2945" w14:textId="77777777" w:rsidR="0037670C" w:rsidRDefault="0037670C">
      <w:pPr>
        <w:rPr>
          <w:lang w:val="en-US"/>
        </w:rPr>
      </w:pPr>
    </w:p>
    <w:p w14:paraId="0EA47EEE" w14:textId="54B62962" w:rsidR="00ED1C0D" w:rsidRPr="00ED1C0D" w:rsidRDefault="00ED1C0D" w:rsidP="00ED1C0D">
      <w:pPr>
        <w:spacing w:before="57" w:after="57"/>
        <w:rPr>
          <w:b/>
          <w:sz w:val="28"/>
          <w:szCs w:val="28"/>
          <w:u w:val="single"/>
          <w:lang w:val="el-GR"/>
        </w:rPr>
      </w:pPr>
      <w:r w:rsidRPr="00ED1C0D">
        <w:rPr>
          <w:b/>
          <w:sz w:val="28"/>
          <w:szCs w:val="28"/>
          <w:u w:val="single"/>
          <w:lang w:val="el-GR"/>
        </w:rPr>
        <w:t xml:space="preserve">ΠΑΡΑΡΤΗΜΑ </w:t>
      </w:r>
      <w:r w:rsidRPr="00ED1C0D">
        <w:rPr>
          <w:b/>
          <w:sz w:val="28"/>
          <w:szCs w:val="28"/>
          <w:u w:val="single"/>
          <w:lang w:val="en-US"/>
        </w:rPr>
        <w:t>V</w:t>
      </w:r>
      <w:r w:rsidR="00E04DC3">
        <w:rPr>
          <w:b/>
          <w:sz w:val="28"/>
          <w:szCs w:val="28"/>
          <w:u w:val="single"/>
          <w:lang w:val="el-GR"/>
        </w:rPr>
        <w:t>Ι</w:t>
      </w:r>
      <w:r w:rsidRPr="00ED1C0D">
        <w:rPr>
          <w:b/>
          <w:sz w:val="28"/>
          <w:szCs w:val="28"/>
          <w:u w:val="single"/>
          <w:lang w:val="el-GR"/>
        </w:rPr>
        <w:t>– ΕΕΕΣ</w:t>
      </w:r>
    </w:p>
    <w:p w14:paraId="6C47A5CF" w14:textId="77777777" w:rsidR="00ED1C0D" w:rsidRPr="00ED1C0D" w:rsidRDefault="00ED1C0D">
      <w:pPr>
        <w:rPr>
          <w:lang w:val="en-US"/>
        </w:rPr>
      </w:pPr>
    </w:p>
    <w:sectPr w:rsidR="00ED1C0D" w:rsidRPr="00ED1C0D">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709"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A238" w16cex:dateUtc="2023-05-07T19:18:00Z"/>
  <w16cex:commentExtensible w16cex:durableId="2802A3BE" w16cex:dateUtc="2023-05-07T19:25:00Z"/>
  <w16cex:commentExtensible w16cex:durableId="2802AD43" w16cex:dateUtc="2023-05-07T20:05:00Z"/>
  <w16cex:commentExtensible w16cex:durableId="2802AD71" w16cex:dateUtc="2023-05-07T20:06:00Z"/>
  <w16cex:commentExtensible w16cex:durableId="2802B46C" w16cex:dateUtc="2023-05-07T20:36:00Z"/>
  <w16cex:commentExtensible w16cex:durableId="2802B5F2" w16cex:dateUtc="2023-05-07T20:42:00Z"/>
  <w16cex:commentExtensible w16cex:durableId="280BCCBB" w16cex:dateUtc="2023-05-1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4730E" w16cid:durableId="27D7E87B"/>
  <w16cid:commentId w16cid:paraId="04EEC8EA" w16cid:durableId="27D7E9FB"/>
  <w16cid:commentId w16cid:paraId="745E3B16" w16cid:durableId="27D7EE59"/>
  <w16cid:commentId w16cid:paraId="5E0DADC8" w16cid:durableId="27D7F030"/>
  <w16cid:commentId w16cid:paraId="4DD0B5FC" w16cid:durableId="27D7F1E0"/>
  <w16cid:commentId w16cid:paraId="3A8ADF48" w16cid:durableId="27D7F9A2"/>
  <w16cid:commentId w16cid:paraId="7CA4A977" w16cid:durableId="27D7FA3F"/>
  <w16cid:commentId w16cid:paraId="74400048" w16cid:durableId="2802A238"/>
  <w16cid:commentId w16cid:paraId="67B9122B" w16cid:durableId="2802A3BE"/>
  <w16cid:commentId w16cid:paraId="7CD18784" w16cid:durableId="2802AD43"/>
  <w16cid:commentId w16cid:paraId="0230D974" w16cid:durableId="2802AD71"/>
  <w16cid:commentId w16cid:paraId="02107800" w16cid:durableId="2802B46C"/>
  <w16cid:commentId w16cid:paraId="383941C2" w16cid:durableId="2802B5F2"/>
  <w16cid:commentId w16cid:paraId="3181D606" w16cid:durableId="280BCC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2C3C" w14:textId="77777777" w:rsidR="00DA0E97" w:rsidRDefault="00DA0E97">
      <w:pPr>
        <w:spacing w:after="0"/>
      </w:pPr>
      <w:r>
        <w:separator/>
      </w:r>
    </w:p>
  </w:endnote>
  <w:endnote w:type="continuationSeparator" w:id="0">
    <w:p w14:paraId="0336AACE" w14:textId="77777777" w:rsidR="00DA0E97" w:rsidRDefault="00DA0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979D" w14:textId="77777777" w:rsidR="0075659A" w:rsidRDefault="00756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6655" w14:textId="77777777" w:rsidR="0075659A" w:rsidRDefault="0075659A">
    <w:pPr>
      <w:pStyle w:val="af3"/>
      <w:spacing w:after="0"/>
      <w:jc w:val="center"/>
      <w:rPr>
        <w:rFonts w:eastAsia="Times New Roman"/>
        <w:kern w:val="1"/>
        <w:sz w:val="18"/>
        <w:szCs w:val="18"/>
        <w:lang w:val="el-GR" w:eastAsia="zh-CN"/>
      </w:rPr>
    </w:pPr>
  </w:p>
  <w:p w14:paraId="7CEDBECA" w14:textId="5A67E58A" w:rsidR="0075659A" w:rsidRDefault="0075659A">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A725D">
      <w:rPr>
        <w:noProof/>
        <w:sz w:val="20"/>
        <w:szCs w:val="20"/>
      </w:rPr>
      <w:t>68</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4F6B" w14:textId="77777777" w:rsidR="0075659A" w:rsidRDefault="00756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B5A2" w14:textId="77777777" w:rsidR="00DA0E97" w:rsidRDefault="00DA0E97">
      <w:pPr>
        <w:spacing w:after="0"/>
      </w:pPr>
      <w:r>
        <w:separator/>
      </w:r>
    </w:p>
  </w:footnote>
  <w:footnote w:type="continuationSeparator" w:id="0">
    <w:p w14:paraId="65B5C985" w14:textId="77777777" w:rsidR="00DA0E97" w:rsidRDefault="00DA0E97">
      <w:pPr>
        <w:spacing w:after="0"/>
      </w:pPr>
      <w:r>
        <w:continuationSeparator/>
      </w:r>
    </w:p>
  </w:footnote>
  <w:footnote w:id="1">
    <w:p w14:paraId="72DF6ADD" w14:textId="77777777" w:rsidR="0075659A" w:rsidRPr="00D31DA2" w:rsidRDefault="0075659A"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w:t>
      </w:r>
      <w:r>
        <w:rPr>
          <w:szCs w:val="18"/>
          <w:lang w:val="el-GR"/>
        </w:rPr>
        <w:t>ν</w:t>
      </w:r>
    </w:p>
  </w:footnote>
  <w:footnote w:id="2">
    <w:p w14:paraId="08BC32B8" w14:textId="77777777" w:rsidR="0075659A" w:rsidRPr="00E90CD8" w:rsidRDefault="0075659A">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w:t>
      </w:r>
      <w:proofErr w:type="spellStart"/>
      <w:r>
        <w:rPr>
          <w:rStyle w:val="a4"/>
          <w:vertAlign w:val="baseline"/>
          <w:lang w:val="el-GR"/>
        </w:rPr>
        <w:t>περ</w:t>
      </w:r>
      <w:proofErr w:type="spellEnd"/>
      <w:r>
        <w:rPr>
          <w:rStyle w:val="a4"/>
          <w:vertAlign w:val="baseline"/>
          <w:lang w:val="el-GR"/>
        </w:rPr>
        <w:t xml:space="preserve">. γ του ν. 4412/2016  </w:t>
      </w:r>
    </w:p>
  </w:footnote>
  <w:footnote w:id="3">
    <w:p w14:paraId="0F38E8B2" w14:textId="77777777" w:rsidR="0075659A" w:rsidRPr="00E90CD8" w:rsidRDefault="0075659A">
      <w:pPr>
        <w:pStyle w:val="af5"/>
        <w:rPr>
          <w:lang w:val="el-GR"/>
        </w:rPr>
      </w:pPr>
      <w:r>
        <w:rPr>
          <w:rStyle w:val="a8"/>
        </w:rPr>
        <w:footnoteRef/>
      </w:r>
      <w:r>
        <w:rPr>
          <w:rStyle w:val="a4"/>
          <w:vertAlign w:val="baseline"/>
          <w:lang w:val="el-GR"/>
        </w:rPr>
        <w:tab/>
        <w:t>Αναφέρεται το είδος της Α.</w:t>
      </w:r>
      <w:r>
        <w:rPr>
          <w:rStyle w:val="a4"/>
          <w:vertAlign w:val="baseline"/>
          <w:lang w:val="en-US"/>
        </w:rPr>
        <w:t>A</w:t>
      </w:r>
      <w:r>
        <w:rPr>
          <w:rStyle w:val="a4"/>
          <w:vertAlign w:val="baseline"/>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Pr>
          <w:rStyle w:val="a4"/>
          <w:vertAlign w:val="baseline"/>
          <w:lang w:val="el-GR"/>
        </w:rPr>
        <w:t>περ</w:t>
      </w:r>
      <w:proofErr w:type="spellEnd"/>
      <w:r>
        <w:rPr>
          <w:rStyle w:val="a4"/>
          <w:vertAlign w:val="baseline"/>
          <w:lang w:val="el-GR"/>
        </w:rPr>
        <w:t>. 2 και 3 του ν. 4412/2016</w:t>
      </w:r>
    </w:p>
  </w:footnote>
  <w:footnote w:id="4">
    <w:p w14:paraId="1543AFC9" w14:textId="77777777" w:rsidR="0075659A" w:rsidRPr="00E90CD8" w:rsidRDefault="0075659A">
      <w:pPr>
        <w:pStyle w:val="af5"/>
        <w:rPr>
          <w:lang w:val="el-GR"/>
        </w:rPr>
      </w:pPr>
      <w:r>
        <w:rPr>
          <w:rStyle w:val="a8"/>
        </w:rPr>
        <w:footnoteRef/>
      </w:r>
      <w:r>
        <w:rPr>
          <w:rStyle w:val="a4"/>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5">
    <w:p w14:paraId="60BB718F" w14:textId="77777777" w:rsidR="0075659A" w:rsidRPr="00E90CD8" w:rsidRDefault="0075659A">
      <w:pPr>
        <w:pStyle w:val="af5"/>
        <w:rPr>
          <w:lang w:val="el-GR"/>
        </w:rPr>
      </w:pPr>
      <w:r>
        <w:rPr>
          <w:rStyle w:val="a8"/>
        </w:rPr>
        <w:footnoteRef/>
      </w:r>
      <w:r>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6">
    <w:p w14:paraId="31EF98FD" w14:textId="77777777" w:rsidR="0075659A" w:rsidRPr="005A0EC7" w:rsidRDefault="0075659A">
      <w:pPr>
        <w:pStyle w:val="af5"/>
        <w:rPr>
          <w:lang w:val="el-GR"/>
        </w:rPr>
      </w:pPr>
      <w:r>
        <w:rPr>
          <w:rStyle w:val="a8"/>
        </w:rPr>
        <w:footnoteRef/>
      </w:r>
      <w:r>
        <w:rPr>
          <w:lang w:val="el-GR"/>
        </w:rPr>
        <w:tab/>
        <w:t>Συμπληρώνεται το εφαρμοστέο νομικό πλαίσιο (χώρα και νομοθέτημα/</w:t>
      </w:r>
      <w:proofErr w:type="spellStart"/>
      <w:r>
        <w:rPr>
          <w:lang w:val="el-GR"/>
        </w:rPr>
        <w:t>ματα</w:t>
      </w:r>
      <w:proofErr w:type="spellEnd"/>
      <w:r>
        <w:rPr>
          <w:lang w:val="el-GR"/>
        </w:rPr>
        <w:t>)</w:t>
      </w:r>
    </w:p>
  </w:footnote>
  <w:footnote w:id="7">
    <w:p w14:paraId="01AFB6CB" w14:textId="77777777" w:rsidR="0075659A" w:rsidRPr="007037EB" w:rsidRDefault="0075659A">
      <w:pPr>
        <w:pStyle w:val="af5"/>
        <w:rPr>
          <w:lang w:val="el-GR"/>
        </w:rPr>
      </w:pPr>
      <w:r>
        <w:rPr>
          <w:rStyle w:val="a8"/>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8">
    <w:p w14:paraId="4D044384" w14:textId="77777777" w:rsidR="0075659A" w:rsidRPr="007037EB" w:rsidRDefault="0075659A">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14:paraId="379EFA85" w14:textId="77777777" w:rsidR="0075659A" w:rsidRPr="007037EB" w:rsidRDefault="0075659A">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xml:space="preserve">. παρ. 2 </w:t>
      </w:r>
      <w:proofErr w:type="spellStart"/>
      <w:r w:rsidRPr="007037EB">
        <w:rPr>
          <w:lang w:val="el-GR"/>
        </w:rPr>
        <w:t>περ</w:t>
      </w:r>
      <w:proofErr w:type="spellEnd"/>
      <w:r w:rsidRPr="007037EB">
        <w:rPr>
          <w:lang w:val="el-GR"/>
        </w:rPr>
        <w:t>.</w:t>
      </w:r>
      <w:r w:rsidRPr="007B18F5">
        <w:rPr>
          <w:lang w:val="el-GR"/>
        </w:rPr>
        <w:t xml:space="preserve"> </w:t>
      </w:r>
      <w:r w:rsidRPr="007037EB">
        <w:rPr>
          <w:lang w:val="el-GR"/>
        </w:rPr>
        <w:t>ζ  του άρθρου 53 του ν.4412/16 όπως διαμορφώθηκε με το άρθρο 16 του ν. 4782/21)</w:t>
      </w:r>
    </w:p>
  </w:footnote>
  <w:footnote w:id="10">
    <w:p w14:paraId="618EBF0B" w14:textId="77777777" w:rsidR="0075659A" w:rsidRPr="002E7A08" w:rsidRDefault="0075659A" w:rsidP="00430D31">
      <w:pPr>
        <w:pStyle w:val="af5"/>
        <w:rPr>
          <w:lang w:val="el-GR"/>
        </w:rPr>
      </w:pPr>
      <w:r>
        <w:rPr>
          <w:rStyle w:val="ad"/>
        </w:rPr>
        <w:footnoteRef/>
      </w:r>
      <w:r w:rsidRPr="00A73090">
        <w:rPr>
          <w:lang w:val="el-GR"/>
        </w:rPr>
        <w:t xml:space="preserve"> </w:t>
      </w:r>
      <w:r>
        <w:rPr>
          <w:rStyle w:val="a4"/>
          <w:vertAlign w:val="baseline"/>
          <w:lang w:val="el-GR"/>
        </w:rPr>
        <w:tab/>
      </w:r>
      <w:r w:rsidRPr="00EE4B81">
        <w:rPr>
          <w:lang w:val="el-GR"/>
        </w:rPr>
        <w:t xml:space="preserve">Σύμφωνα με το άρθρο 4 παρ. 4 του </w:t>
      </w:r>
      <w:proofErr w:type="spellStart"/>
      <w:r w:rsidRPr="00EE4B81">
        <w:rPr>
          <w:lang w:val="el-GR"/>
        </w:rPr>
        <w:t>π.δ</w:t>
      </w:r>
      <w:proofErr w:type="spellEnd"/>
      <w:r w:rsidRPr="00EE4B81">
        <w:rPr>
          <w:lang w:val="el-GR"/>
        </w:rPr>
        <w:t xml:space="preserve"> 80/2016 </w:t>
      </w:r>
      <w:r w:rsidRPr="00EE4B81">
        <w:rPr>
          <w:i/>
          <w:lang w:val="el-GR"/>
        </w:rPr>
        <w:t xml:space="preserve">“Ανάληψη υποχρεώσεων από τους </w:t>
      </w:r>
      <w:proofErr w:type="spellStart"/>
      <w:r w:rsidRPr="00EE4B81">
        <w:rPr>
          <w:i/>
          <w:lang w:val="el-GR"/>
        </w:rPr>
        <w:t>διατάκτες</w:t>
      </w:r>
      <w:proofErr w:type="spellEnd"/>
      <w:r w:rsidRPr="00EE4B81">
        <w:rPr>
          <w:i/>
          <w:lang w:val="el-GR"/>
        </w:rPr>
        <w:t>”</w:t>
      </w:r>
      <w:r w:rsidRPr="00EE4B81">
        <w:rPr>
          <w:lang w:val="el-GR"/>
        </w:rPr>
        <w:t xml:space="preserve"> ( Α΄ 145) «4. Οι διακηρύξεις, οι αποφάσεις ανάθεσης και οι συμβάσεις που συνάπτονται για λογαριασμό όλων των φορέων Γενικής Κυβέρνησης</w:t>
      </w:r>
      <w:r w:rsidRPr="002E7A08">
        <w:rPr>
          <w:lang w:val="el-GR"/>
        </w:rPr>
        <w:t xml:space="preserve"> </w:t>
      </w:r>
      <w:r w:rsidRPr="00EE4B81">
        <w:rPr>
          <w:lang w:val="el-GR"/>
        </w:rPr>
        <w:t xml:space="preserve">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 Επίσης, σύμφωνα με το άρθρο 12 παρ. 2 γ) του ίδιου </w:t>
      </w:r>
      <w:proofErr w:type="spellStart"/>
      <w:r w:rsidRPr="00EE4B81">
        <w:rPr>
          <w:lang w:val="el-GR"/>
        </w:rPr>
        <w:t>π.δ</w:t>
      </w:r>
      <w:proofErr w:type="spellEnd"/>
      <w:r w:rsidRPr="00EE4B81">
        <w:rPr>
          <w:lang w:val="el-GR"/>
        </w:rPr>
        <w:t>: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11">
    <w:p w14:paraId="6085C100" w14:textId="2E78BF9E" w:rsidR="0075659A" w:rsidRPr="009C31D5" w:rsidRDefault="0075659A"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Ε.Α.ΔΗ.ΣΥ. οι αναθέτουσες αρχές έχουν την ευθύνη αντίστοιχης προσαρμογής των εν λόγω όρων.</w:t>
      </w:r>
    </w:p>
  </w:footnote>
  <w:footnote w:id="12">
    <w:p w14:paraId="5784E5BA" w14:textId="77777777" w:rsidR="0075659A" w:rsidRPr="00F50CA4" w:rsidRDefault="0075659A">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3">
    <w:p w14:paraId="74B38772" w14:textId="77777777" w:rsidR="0075659A" w:rsidRPr="00D46D13" w:rsidRDefault="0075659A">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4">
    <w:p w14:paraId="26601621" w14:textId="77777777" w:rsidR="0075659A" w:rsidRPr="00D46D13" w:rsidRDefault="0075659A">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5">
    <w:p w14:paraId="4F3DB140" w14:textId="77777777" w:rsidR="0075659A" w:rsidRPr="00C823DC" w:rsidRDefault="0075659A">
      <w:pPr>
        <w:pStyle w:val="af5"/>
        <w:rPr>
          <w:lang w:val="el-GR"/>
        </w:rPr>
      </w:pPr>
      <w:r>
        <w:rPr>
          <w:rStyle w:val="a8"/>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 όπως τροποποιήθηκε με το άρθρο 245 του ν. 4782/2021.</w:t>
      </w:r>
    </w:p>
  </w:footnote>
  <w:footnote w:id="16">
    <w:p w14:paraId="0CC5C61C" w14:textId="77777777" w:rsidR="0075659A" w:rsidRPr="00C823DC" w:rsidRDefault="0075659A">
      <w:pPr>
        <w:pStyle w:val="af5"/>
        <w:rPr>
          <w:lang w:val="el-GR"/>
        </w:rPr>
      </w:pPr>
      <w:r>
        <w:rPr>
          <w:rStyle w:val="a8"/>
        </w:rPr>
        <w:footnoteRef/>
      </w:r>
      <w:r>
        <w:rPr>
          <w:lang w:val="el-GR"/>
        </w:rPr>
        <w:tab/>
        <w:t xml:space="preserve">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w:t>
      </w:r>
      <w:proofErr w:type="spellStart"/>
      <w:r>
        <w:rPr>
          <w:lang w:val="el-GR"/>
        </w:rPr>
        <w:t>περίπτ</w:t>
      </w:r>
      <w:proofErr w:type="spellEnd"/>
      <w:r>
        <w:rPr>
          <w:lang w:val="el-GR"/>
        </w:rPr>
        <w:t xml:space="preserve"> (35) και άρθρο 379 §12 ν. 4412/2016, όπως τροποποιήθηκε με το άρθρο 245 του ν. 4782/2021.</w:t>
      </w:r>
    </w:p>
  </w:footnote>
  <w:footnote w:id="17">
    <w:p w14:paraId="1A4DDC31" w14:textId="77777777" w:rsidR="0075659A" w:rsidRPr="00C823DC" w:rsidRDefault="0075659A">
      <w:pPr>
        <w:pStyle w:val="af5"/>
        <w:rPr>
          <w:lang w:val="el-GR"/>
        </w:rPr>
      </w:pPr>
      <w:r>
        <w:rPr>
          <w:rStyle w:val="a8"/>
        </w:rPr>
        <w:footnoteRef/>
      </w:r>
      <w:r>
        <w:rPr>
          <w:lang w:val="el-GR"/>
        </w:rPr>
        <w:tab/>
        <w:t xml:space="preserve"> </w:t>
      </w:r>
      <w:r>
        <w:rPr>
          <w:color w:val="000000"/>
          <w:lang w:val="el-GR"/>
        </w:rPr>
        <w:t>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18">
    <w:p w14:paraId="462CC11B" w14:textId="0A89C0B6" w:rsidR="0075659A" w:rsidRPr="00BF6E69" w:rsidRDefault="0075659A" w:rsidP="00710C1D">
      <w:pPr>
        <w:pStyle w:val="af5"/>
        <w:rPr>
          <w:lang w:val="el-GR"/>
        </w:rPr>
      </w:pPr>
      <w:r>
        <w:rPr>
          <w:rStyle w:val="ad"/>
        </w:rPr>
        <w:footnoteRef/>
      </w:r>
      <w:r w:rsidRPr="00BF6E69">
        <w:rPr>
          <w:lang w:val="el-GR"/>
        </w:rPr>
        <w:t xml:space="preserve"> </w:t>
      </w:r>
      <w:r>
        <w:rPr>
          <w:lang w:val="el-GR"/>
        </w:rPr>
        <w:tab/>
      </w:r>
      <w:proofErr w:type="spellStart"/>
      <w:r>
        <w:rPr>
          <w:lang w:val="el-GR"/>
        </w:rPr>
        <w:t>Πρβλ.άρθρο</w:t>
      </w:r>
      <w:proofErr w:type="spellEnd"/>
      <w:r>
        <w:rPr>
          <w:lang w:val="el-GR"/>
        </w:rPr>
        <w:t xml:space="preserve"> 26 ν. 5005/2022 (Α’ 236), ως τροποποίησε άρθρο 4 ν. 3548/2007 (Α’ 68) με την προσθήκη παρ. 4.</w:t>
      </w:r>
    </w:p>
  </w:footnote>
  <w:footnote w:id="19">
    <w:p w14:paraId="34666FBF" w14:textId="77777777" w:rsidR="0075659A" w:rsidRPr="00D46D13" w:rsidRDefault="0075659A">
      <w:pPr>
        <w:pStyle w:val="af5"/>
        <w:rPr>
          <w:lang w:val="el-GR"/>
        </w:rPr>
      </w:pPr>
      <w:r>
        <w:rPr>
          <w:rStyle w:val="a8"/>
        </w:rPr>
        <w:footnoteRef/>
      </w:r>
      <w:r>
        <w:rPr>
          <w:lang w:val="el-GR"/>
        </w:rPr>
        <w:tab/>
        <w:t>Άρθρο 18 παρ. 2 του ν. 4412/2016.</w:t>
      </w:r>
    </w:p>
  </w:footnote>
  <w:footnote w:id="20">
    <w:p w14:paraId="58D9C4F5" w14:textId="77777777" w:rsidR="0075659A" w:rsidRPr="00C823DC" w:rsidRDefault="0075659A">
      <w:pPr>
        <w:pStyle w:val="af5"/>
        <w:rPr>
          <w:lang w:val="el-GR"/>
        </w:rPr>
      </w:pPr>
      <w:r>
        <w:rPr>
          <w:rStyle w:val="a8"/>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1">
    <w:p w14:paraId="05DF2512" w14:textId="5E2398D8" w:rsidR="0075659A" w:rsidRPr="00AE47A1" w:rsidRDefault="0075659A">
      <w:pPr>
        <w:pStyle w:val="af5"/>
        <w:rPr>
          <w:lang w:val="el-GR"/>
        </w:rPr>
      </w:pPr>
      <w:r>
        <w:rPr>
          <w:rStyle w:val="a8"/>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22">
    <w:p w14:paraId="0FBE773A" w14:textId="0EF6F677" w:rsidR="0075659A" w:rsidRPr="00E528D5" w:rsidRDefault="0075659A">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23">
    <w:p w14:paraId="18F0A7DE" w14:textId="77777777" w:rsidR="0075659A" w:rsidRPr="00FC2FD7" w:rsidRDefault="0075659A">
      <w:pPr>
        <w:pStyle w:val="af5"/>
        <w:rPr>
          <w:lang w:val="el-GR"/>
        </w:rPr>
      </w:pPr>
      <w:r>
        <w:rPr>
          <w:rStyle w:val="ad"/>
        </w:rPr>
        <w:footnoteRef/>
      </w:r>
      <w:r w:rsidRPr="00FC2FD7">
        <w:rPr>
          <w:lang w:val="el-GR"/>
        </w:rPr>
        <w:t xml:space="preserve"> </w:t>
      </w:r>
      <w:r>
        <w:rPr>
          <w:rStyle w:val="a4"/>
          <w:vertAlign w:val="baseline"/>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4">
    <w:p w14:paraId="6364A12D" w14:textId="32475C82" w:rsidR="0075659A" w:rsidRPr="00175691" w:rsidRDefault="0075659A">
      <w:pPr>
        <w:pStyle w:val="af5"/>
        <w:rPr>
          <w:lang w:val="el-GR"/>
        </w:rPr>
      </w:pPr>
      <w:r>
        <w:rPr>
          <w:rStyle w:val="a8"/>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5">
    <w:p w14:paraId="268817A9" w14:textId="77777777" w:rsidR="0075659A" w:rsidRPr="00175691" w:rsidRDefault="0075659A">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26">
    <w:p w14:paraId="4E007FD7" w14:textId="7D7AEC23" w:rsidR="0075659A" w:rsidRPr="00175691" w:rsidRDefault="0075659A">
      <w:pPr>
        <w:pStyle w:val="af5"/>
        <w:rPr>
          <w:lang w:val="el-GR"/>
        </w:rPr>
      </w:pPr>
      <w:r>
        <w:rPr>
          <w:rStyle w:val="a8"/>
        </w:rPr>
        <w:footnoteRef/>
      </w:r>
      <w:r>
        <w:rPr>
          <w:szCs w:val="18"/>
          <w:lang w:val="el-GR"/>
        </w:rPr>
        <w:tab/>
        <w:t>Άρθρο 92 παρ.4 του ν. 4412/2016</w:t>
      </w:r>
    </w:p>
  </w:footnote>
  <w:footnote w:id="27">
    <w:p w14:paraId="043545F5" w14:textId="77777777" w:rsidR="0075659A" w:rsidRPr="00175691" w:rsidRDefault="0075659A">
      <w:pPr>
        <w:pStyle w:val="af5"/>
        <w:rPr>
          <w:lang w:val="el-GR"/>
        </w:rPr>
      </w:pPr>
      <w:r>
        <w:rPr>
          <w:rStyle w:val="ad"/>
        </w:rPr>
        <w:footnoteRef/>
      </w:r>
      <w:r>
        <w:rPr>
          <w:rStyle w:val="a4"/>
          <w:vertAlign w:val="baseline"/>
          <w:lang w:val="el-GR"/>
        </w:rPr>
        <w:tab/>
      </w:r>
      <w:r>
        <w:rPr>
          <w:lang w:val="el-GR"/>
        </w:rPr>
        <w:t>Παρ. 4 Α του ως άνω άρθρου 92</w:t>
      </w:r>
    </w:p>
  </w:footnote>
  <w:footnote w:id="28">
    <w:p w14:paraId="0AC97C3C" w14:textId="77777777" w:rsidR="0075659A" w:rsidRPr="00175691" w:rsidRDefault="0075659A">
      <w:pPr>
        <w:pStyle w:val="af5"/>
        <w:rPr>
          <w:lang w:val="el-GR"/>
        </w:rPr>
      </w:pPr>
      <w:r>
        <w:rPr>
          <w:rStyle w:val="a8"/>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9">
    <w:p w14:paraId="6EAFAE0F" w14:textId="3928B9AA" w:rsidR="0075659A" w:rsidRPr="00D6713A" w:rsidRDefault="0075659A">
      <w:pPr>
        <w:pStyle w:val="af5"/>
        <w:rPr>
          <w:lang w:val="el-GR"/>
        </w:rPr>
      </w:pPr>
      <w:r w:rsidRPr="00E06ADE">
        <w:rPr>
          <w:rStyle w:val="ad"/>
        </w:rPr>
        <w:footnoteRef/>
      </w:r>
      <w:r>
        <w:rPr>
          <w:szCs w:val="18"/>
          <w:lang w:val="el-GR"/>
        </w:rPr>
        <w:tab/>
        <w:t xml:space="preserve">Άρθρο 72 του  ν. 4412/2 016 </w:t>
      </w:r>
    </w:p>
  </w:footnote>
  <w:footnote w:id="30">
    <w:p w14:paraId="64B5725A" w14:textId="3DA9605E" w:rsidR="0075659A" w:rsidRPr="00D6713A" w:rsidRDefault="0075659A">
      <w:pPr>
        <w:pStyle w:val="af5"/>
        <w:rPr>
          <w:lang w:val="el-GR"/>
        </w:rPr>
      </w:pPr>
      <w:r>
        <w:rPr>
          <w:rStyle w:val="a8"/>
        </w:rPr>
        <w:footnoteRef/>
      </w:r>
      <w:r>
        <w:rPr>
          <w:szCs w:val="18"/>
          <w:lang w:val="el-GR"/>
        </w:rPr>
        <w:tab/>
      </w:r>
      <w:proofErr w:type="spellStart"/>
      <w:r>
        <w:rPr>
          <w:szCs w:val="18"/>
          <w:lang w:val="el-GR"/>
        </w:rPr>
        <w:t>Πρβλ</w:t>
      </w:r>
      <w:proofErr w:type="spellEnd"/>
      <w:r>
        <w:rPr>
          <w:szCs w:val="18"/>
          <w:lang w:val="el-GR"/>
        </w:rPr>
        <w:t>.  άρθρο 120 του  ν.4512/2018 (ΦΕΚ Α΄ 5/17.1.2017), καθώς και</w:t>
      </w:r>
      <w:r>
        <w:rPr>
          <w:lang w:val="el-GR"/>
        </w:rPr>
        <w:t xml:space="preserve">  άρθρο 15 παρ.1 του  ν.4541/2018  (ΦΕΚ Α΄ 93/31.5.2018),</w:t>
      </w:r>
    </w:p>
  </w:footnote>
  <w:footnote w:id="31">
    <w:p w14:paraId="1FF0DF1B" w14:textId="77777777" w:rsidR="0075659A" w:rsidRPr="0065239E" w:rsidRDefault="0075659A">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xml:space="preserve">. το με αρ. </w:t>
      </w:r>
      <w:proofErr w:type="spellStart"/>
      <w:r w:rsidRPr="0065239E">
        <w:rPr>
          <w:lang w:val="el-GR"/>
        </w:rPr>
        <w:t>πρωτ</w:t>
      </w:r>
      <w:proofErr w:type="spellEnd"/>
      <w:r w:rsidRPr="0065239E">
        <w:rPr>
          <w:lang w:val="el-GR"/>
        </w:rPr>
        <w:t>. 2756/23-5-2017 έγγραφο της Ε.Α.Α.ΔΗ.ΣΥ. (ΑΔΑ: 7ΝΣΡΟΞΤΒ-975).</w:t>
      </w:r>
    </w:p>
  </w:footnote>
  <w:footnote w:id="32">
    <w:p w14:paraId="76ABE4AC" w14:textId="08142A0C" w:rsidR="0075659A" w:rsidRPr="00F46CE2" w:rsidRDefault="0075659A">
      <w:pPr>
        <w:pStyle w:val="af5"/>
        <w:rPr>
          <w:lang w:val="el-GR"/>
        </w:rPr>
      </w:pPr>
      <w:r>
        <w:rPr>
          <w:rStyle w:val="ad"/>
        </w:rPr>
        <w:footnoteRef/>
      </w:r>
      <w:r>
        <w:rPr>
          <w:rStyle w:val="a4"/>
          <w:vertAlign w:val="baseline"/>
          <w:lang w:val="el-GR"/>
        </w:rPr>
        <w:tab/>
      </w:r>
      <w:r>
        <w:rPr>
          <w:lang w:val="el-GR"/>
        </w:rPr>
        <w:t>Παρ. 12 άρθρου 72 του ν. 4412/2016</w:t>
      </w:r>
    </w:p>
  </w:footnote>
  <w:footnote w:id="33">
    <w:p w14:paraId="3B70A0D5" w14:textId="77777777" w:rsidR="0075659A" w:rsidRPr="0065239E" w:rsidRDefault="0075659A">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proofErr w:type="spellStart"/>
      <w:r>
        <w:t>htm</w:t>
      </w:r>
      <w:proofErr w:type="spellEnd"/>
    </w:p>
  </w:footnote>
  <w:footnote w:id="34">
    <w:p w14:paraId="6AD6D914" w14:textId="77777777" w:rsidR="0075659A" w:rsidRPr="00355202" w:rsidRDefault="0075659A"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35">
    <w:p w14:paraId="4F52BBF7" w14:textId="77777777" w:rsidR="0075659A" w:rsidRPr="002510A3" w:rsidRDefault="0075659A">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36">
    <w:p w14:paraId="3401DB8E" w14:textId="77777777" w:rsidR="0075659A" w:rsidRPr="00BD65F6" w:rsidRDefault="0075659A">
      <w:pPr>
        <w:pStyle w:val="af5"/>
        <w:rPr>
          <w:lang w:val="el-GR"/>
        </w:rPr>
      </w:pPr>
      <w:r>
        <w:rPr>
          <w:rStyle w:val="ad"/>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37">
    <w:p w14:paraId="4650B4D8" w14:textId="77777777" w:rsidR="0075659A" w:rsidRPr="006B4E4A" w:rsidRDefault="0075659A">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8">
    <w:p w14:paraId="2136AFA4" w14:textId="77777777" w:rsidR="0075659A" w:rsidRPr="006B4E4A" w:rsidRDefault="0075659A">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9">
    <w:p w14:paraId="49FCF301" w14:textId="77777777" w:rsidR="0075659A" w:rsidRPr="006B4E4A" w:rsidRDefault="0075659A">
      <w:pPr>
        <w:pStyle w:val="af5"/>
        <w:rPr>
          <w:lang w:val="el-GR"/>
        </w:rPr>
      </w:pPr>
      <w:r>
        <w:rPr>
          <w:rStyle w:val="a8"/>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w:t>
      </w:r>
      <w:proofErr w:type="spellStart"/>
      <w:r>
        <w:rPr>
          <w:lang w:val="el-GR"/>
        </w:rPr>
        <w:t>εδ</w:t>
      </w:r>
      <w:proofErr w:type="spellEnd"/>
      <w:r>
        <w:rPr>
          <w:lang w:val="el-GR"/>
        </w:rPr>
        <w:t>. παρ. 1 άρθρου 72 ν. 4412/2016).</w:t>
      </w:r>
    </w:p>
  </w:footnote>
  <w:footnote w:id="40">
    <w:p w14:paraId="080351B2" w14:textId="77777777" w:rsidR="0075659A" w:rsidRPr="006B4E4A" w:rsidRDefault="0075659A">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41">
    <w:p w14:paraId="0261D576" w14:textId="77777777" w:rsidR="0075659A" w:rsidRPr="00266D9E" w:rsidRDefault="0075659A">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42">
    <w:p w14:paraId="7E46C164" w14:textId="77777777" w:rsidR="0075659A" w:rsidRPr="00266D9E" w:rsidRDefault="0075659A">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43">
    <w:p w14:paraId="7B761C01" w14:textId="77777777" w:rsidR="0075659A" w:rsidRPr="00266D9E" w:rsidRDefault="0075659A">
      <w:pPr>
        <w:pStyle w:val="af5"/>
        <w:rPr>
          <w:lang w:val="el-GR"/>
        </w:rPr>
      </w:pPr>
      <w:r w:rsidRPr="00B63FC9">
        <w:rPr>
          <w:rStyle w:val="a8"/>
        </w:rPr>
        <w:footnoteRef/>
      </w:r>
      <w:r>
        <w:rPr>
          <w:lang w:val="el-GR"/>
        </w:rPr>
        <w:tab/>
        <w:t>Άρθρα 73 και 74 ν. 4412/2016</w:t>
      </w:r>
    </w:p>
  </w:footnote>
  <w:footnote w:id="44">
    <w:p w14:paraId="7D1D3AE3" w14:textId="77777777" w:rsidR="0075659A" w:rsidRDefault="0075659A"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568FF4A" w14:textId="77777777" w:rsidR="0075659A" w:rsidRPr="00266D9E" w:rsidRDefault="0075659A">
      <w:pPr>
        <w:pStyle w:val="af5"/>
        <w:rPr>
          <w:lang w:val="el-GR"/>
        </w:rPr>
      </w:pPr>
      <w:r>
        <w:rPr>
          <w:bCs/>
          <w:szCs w:val="18"/>
          <w:lang w:val="el-GR"/>
        </w:rPr>
        <w:tab/>
      </w:r>
    </w:p>
  </w:footnote>
  <w:footnote w:id="45">
    <w:p w14:paraId="08169839" w14:textId="77777777" w:rsidR="0075659A" w:rsidRPr="008751C4" w:rsidRDefault="0075659A">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6">
    <w:p w14:paraId="65DA6A1E" w14:textId="77777777" w:rsidR="0075659A" w:rsidRDefault="0075659A" w:rsidP="007C12D7">
      <w:pPr>
        <w:pStyle w:val="af5"/>
        <w:rPr>
          <w:lang w:val="el-GR"/>
        </w:rPr>
      </w:pPr>
      <w:r>
        <w:rPr>
          <w:rStyle w:val="a8"/>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47">
    <w:p w14:paraId="0725EF92" w14:textId="77777777" w:rsidR="0075659A" w:rsidRPr="008751C4" w:rsidRDefault="0075659A">
      <w:pPr>
        <w:pStyle w:val="af5"/>
        <w:rPr>
          <w:lang w:val="el-GR"/>
        </w:rPr>
      </w:pPr>
      <w:r>
        <w:rPr>
          <w:rStyle w:val="a8"/>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άρθρο 18 παρ. 5 του ν. 4412/2106.</w:t>
      </w:r>
    </w:p>
  </w:footnote>
  <w:footnote w:id="48">
    <w:p w14:paraId="55647261" w14:textId="77777777" w:rsidR="0075659A" w:rsidRPr="008751C4" w:rsidRDefault="0075659A">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9">
    <w:p w14:paraId="0984D1E0" w14:textId="77777777" w:rsidR="0075659A" w:rsidRPr="00266D9E" w:rsidRDefault="0075659A">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50">
    <w:p w14:paraId="1F096721" w14:textId="77777777" w:rsidR="0075659A" w:rsidRPr="00BD65F6" w:rsidRDefault="0075659A">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51">
    <w:p w14:paraId="46C61110" w14:textId="77777777" w:rsidR="0075659A" w:rsidRPr="00215ADE" w:rsidRDefault="0075659A">
      <w:pPr>
        <w:pStyle w:val="af5"/>
        <w:rPr>
          <w:lang w:val="el-GR"/>
        </w:rPr>
      </w:pPr>
      <w:r>
        <w:rPr>
          <w:rStyle w:val="a8"/>
        </w:rPr>
        <w:footnoteRef/>
      </w:r>
      <w:r>
        <w:rPr>
          <w:lang w:val="el-GR"/>
        </w:rPr>
        <w:tab/>
        <w:t xml:space="preserve">Παρ. 7 άρθρου 73 ν. 4412/2016.  </w:t>
      </w:r>
    </w:p>
  </w:footnote>
  <w:footnote w:id="52">
    <w:p w14:paraId="2F7BA46F" w14:textId="77777777" w:rsidR="0075659A" w:rsidRPr="007B335B" w:rsidRDefault="0075659A" w:rsidP="0025400A">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proofErr w:type="spellStart"/>
      <w:r w:rsidRPr="00F66CA0">
        <w:rPr>
          <w:sz w:val="18"/>
          <w:szCs w:val="20"/>
          <w:lang w:val="el-GR"/>
        </w:rPr>
        <w:t>Πρβλ</w:t>
      </w:r>
      <w:proofErr w:type="spellEnd"/>
      <w:r w:rsidRPr="00F66CA0">
        <w:rPr>
          <w:sz w:val="18"/>
          <w:szCs w:val="20"/>
          <w:lang w:val="el-GR"/>
        </w:rPr>
        <w:t xml:space="preserve">. απόφαση υπ’ </w:t>
      </w:r>
      <w:proofErr w:type="spellStart"/>
      <w:r w:rsidRPr="00F66CA0">
        <w:rPr>
          <w:sz w:val="18"/>
          <w:szCs w:val="20"/>
          <w:lang w:val="el-GR"/>
        </w:rPr>
        <w:t>αριθμ</w:t>
      </w:r>
      <w:proofErr w:type="spellEnd"/>
      <w:r w:rsidRPr="00F66CA0">
        <w:rPr>
          <w:sz w:val="18"/>
          <w:szCs w:val="20"/>
          <w:lang w:val="el-GR"/>
        </w:rPr>
        <w:t>. 111257-18/11/2022 (ΑΔΑ: ΨΠΓΟ46ΜΤΛΡ-0Ε3).</w:t>
      </w:r>
      <w:r>
        <w:rPr>
          <w:color w:val="FF0000"/>
          <w:lang w:val="el-GR"/>
        </w:rPr>
        <w:t xml:space="preserve"> </w:t>
      </w:r>
    </w:p>
  </w:footnote>
  <w:footnote w:id="53">
    <w:p w14:paraId="3560078C" w14:textId="77777777" w:rsidR="0075659A" w:rsidRPr="00215ADE" w:rsidRDefault="0075659A"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54">
    <w:p w14:paraId="400E5BCD" w14:textId="77777777" w:rsidR="0075659A" w:rsidRPr="00215ADE" w:rsidRDefault="0075659A">
      <w:pPr>
        <w:pStyle w:val="af5"/>
        <w:rPr>
          <w:lang w:val="el-GR"/>
        </w:rPr>
      </w:pPr>
      <w:r w:rsidRPr="00B63FC9">
        <w:rPr>
          <w:rStyle w:val="a8"/>
        </w:rPr>
        <w:footnoteRef/>
      </w:r>
      <w:r>
        <w:rPr>
          <w:lang w:val="el-GR"/>
        </w:rPr>
        <w:tab/>
        <w:t>Άρθρο  75 παρ. 2 ν. 4412/2016.</w:t>
      </w:r>
    </w:p>
  </w:footnote>
  <w:footnote w:id="55">
    <w:p w14:paraId="6A41A78D" w14:textId="77777777" w:rsidR="0075659A" w:rsidRPr="007B335B" w:rsidRDefault="0075659A"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56">
    <w:p w14:paraId="10BCDB34" w14:textId="77777777" w:rsidR="0075659A" w:rsidRPr="00215ADE" w:rsidRDefault="0075659A" w:rsidP="002F7439">
      <w:pPr>
        <w:pStyle w:val="af5"/>
        <w:rPr>
          <w:lang w:val="el-GR"/>
        </w:rPr>
      </w:pPr>
      <w:r>
        <w:rPr>
          <w:rStyle w:val="a8"/>
        </w:rPr>
        <w:footnoteRef/>
      </w:r>
      <w:r>
        <w:rPr>
          <w:lang w:val="el-GR"/>
        </w:rPr>
        <w:tab/>
        <w:t>Ο ''γενικός'' κύκλος εργασιών αναφέρεται σε όλες τις δραστηριότητες του οικονομικού φορέα.</w:t>
      </w:r>
    </w:p>
  </w:footnote>
  <w:footnote w:id="57">
    <w:p w14:paraId="38321D07" w14:textId="77777777" w:rsidR="0075659A" w:rsidRPr="00215ADE" w:rsidRDefault="0075659A" w:rsidP="002F7439">
      <w:pPr>
        <w:pStyle w:val="af5"/>
        <w:rPr>
          <w:lang w:val="el-GR"/>
        </w:rPr>
      </w:pPr>
      <w:r>
        <w:rPr>
          <w:rStyle w:val="a8"/>
        </w:rPr>
        <w:footnoteRef/>
      </w:r>
      <w:r>
        <w:rPr>
          <w:lang w:val="el-GR"/>
        </w:rPr>
        <w:tab/>
        <w:t xml:space="preserve">Ο ελάχιστος ετήσιος κύκλος εργασιών που συμπληρώνεται στα συγκεκριμένα πεδία από την </w:t>
      </w:r>
      <w:r>
        <w:rPr>
          <w:lang w:val="en-US"/>
        </w:rPr>
        <w:t>A</w:t>
      </w:r>
      <w:r>
        <w:rPr>
          <w:lang w:val="el-GR"/>
        </w:rPr>
        <w:t>.</w:t>
      </w:r>
      <w:r>
        <w:rPr>
          <w:lang w:val="en-US"/>
        </w:rPr>
        <w:t>A</w:t>
      </w:r>
      <w:r>
        <w:rPr>
          <w:lang w:val="el-GR"/>
        </w:rPr>
        <w:t xml:space="preserve">.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αγαθών ( άρθρο 75 παρ. 3 </w:t>
      </w:r>
      <w:proofErr w:type="spellStart"/>
      <w:r>
        <w:rPr>
          <w:lang w:val="el-GR"/>
        </w:rPr>
        <w:t>υποπ</w:t>
      </w:r>
      <w:proofErr w:type="spellEnd"/>
      <w:r>
        <w:rPr>
          <w:lang w:val="el-GR"/>
        </w:rPr>
        <w:t>. 2 ν. 4412/2016).</w:t>
      </w:r>
    </w:p>
  </w:footnote>
  <w:footnote w:id="58">
    <w:p w14:paraId="3858FEAF" w14:textId="77777777" w:rsidR="0075659A" w:rsidRPr="00B3756B" w:rsidRDefault="0075659A" w:rsidP="00B3756B">
      <w:pPr>
        <w:pStyle w:val="af5"/>
        <w:rPr>
          <w:lang w:val="el-GR"/>
        </w:rPr>
      </w:pPr>
      <w:r w:rsidRPr="00B63FC9">
        <w:rPr>
          <w:rStyle w:val="a8"/>
          <w:szCs w:val="18"/>
        </w:rPr>
        <w:footnoteRef/>
      </w:r>
      <w:r>
        <w:rPr>
          <w:lang w:val="el-GR"/>
        </w:rPr>
        <w:tab/>
        <w:t xml:space="preserve">Άρθρο 75 παρ. 4 ν. 4412/2016. </w:t>
      </w:r>
    </w:p>
  </w:footnote>
  <w:footnote w:id="59">
    <w:p w14:paraId="1D509CBF" w14:textId="77777777" w:rsidR="0075659A" w:rsidRPr="0083058A" w:rsidRDefault="0075659A" w:rsidP="002F7439">
      <w:pPr>
        <w:pStyle w:val="af5"/>
        <w:rPr>
          <w:lang w:val="el-GR"/>
        </w:rPr>
      </w:pPr>
      <w:r>
        <w:rPr>
          <w:rStyle w:val="a8"/>
        </w:rPr>
        <w:footnoteRef/>
      </w:r>
      <w:r>
        <w:rPr>
          <w:lang w:val="el-GR"/>
        </w:rPr>
        <w:tab/>
        <w:t xml:space="preserve">Οι Α.Α. μπορούν να ζητούν έως τρία έτη και να λαμβάνουν υπόψη στοιχεία συμβάσεων που εκτελέσθηκαν/παραδόθηκαν πριν από την τελευταία τριετία.   </w:t>
      </w:r>
    </w:p>
  </w:footnote>
  <w:footnote w:id="60">
    <w:p w14:paraId="3D25F040" w14:textId="77777777" w:rsidR="0075659A" w:rsidRPr="0083058A" w:rsidRDefault="0075659A">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61">
    <w:p w14:paraId="170ADCEE" w14:textId="77777777" w:rsidR="0075659A" w:rsidRDefault="0075659A" w:rsidP="002F7439">
      <w:pPr>
        <w:pStyle w:val="af5"/>
        <w:rPr>
          <w:lang w:val="el-GR"/>
        </w:rPr>
      </w:pPr>
      <w:r>
        <w:rPr>
          <w:rStyle w:val="a8"/>
        </w:rPr>
        <w:footnoteRef/>
      </w:r>
      <w:r>
        <w:rPr>
          <w:lang w:val="el-GR"/>
        </w:rPr>
        <w:tab/>
        <w:t>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t>EMAS</w:t>
      </w:r>
      <w:r>
        <w:rPr>
          <w:lang w:val="el-GR"/>
        </w:rPr>
        <w:t xml:space="preserve">) της Ένωσης ή σε άλλα συστήματα περιβαλλοντικής διαχείρισης που έχουν αναγνωριστεί, σύμφωνα με το άρθρο 45 του Κανονισμού (ΕΚ) </w:t>
      </w:r>
      <w:proofErr w:type="spellStart"/>
      <w:r>
        <w:rPr>
          <w:lang w:val="el-GR"/>
        </w:rPr>
        <w:t>αριθμ</w:t>
      </w:r>
      <w:proofErr w:type="spellEnd"/>
      <w:r>
        <w:rPr>
          <w:lang w:val="el-GR"/>
        </w:rPr>
        <w:t>.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14:paraId="16CA515B" w14:textId="77777777" w:rsidR="0075659A" w:rsidRPr="007626C4" w:rsidRDefault="0075659A" w:rsidP="002F7439">
      <w:pPr>
        <w:pStyle w:val="af5"/>
        <w:rPr>
          <w:lang w:val="el-GR"/>
        </w:rPr>
      </w:pPr>
      <w:r>
        <w:rPr>
          <w:lang w:val="el-GR"/>
        </w:rPr>
        <w:tab/>
        <w:t xml:space="preserve">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w:t>
      </w:r>
      <w:r w:rsidRPr="007626C4">
        <w:rPr>
          <w:lang w:val="el-GR"/>
        </w:rPr>
        <w:t>άρθρο 82 παρ.2 του ν. 4412/2016.</w:t>
      </w:r>
    </w:p>
  </w:footnote>
  <w:footnote w:id="62">
    <w:p w14:paraId="6A9FE10E" w14:textId="77777777" w:rsidR="0075659A" w:rsidRPr="007626C4" w:rsidRDefault="0075659A" w:rsidP="002F7439">
      <w:pPr>
        <w:pStyle w:val="af5"/>
        <w:rPr>
          <w:lang w:val="el-GR"/>
        </w:rPr>
      </w:pPr>
      <w:r w:rsidRPr="007626C4">
        <w:rPr>
          <w:rStyle w:val="ad"/>
        </w:rPr>
        <w:footnoteRef/>
      </w:r>
      <w:r w:rsidRPr="007626C4">
        <w:rPr>
          <w:lang w:val="el-GR"/>
        </w:rPr>
        <w:t xml:space="preserve">    </w:t>
      </w:r>
      <w:r w:rsidRPr="008E22B1">
        <w:rPr>
          <w:lang w:val="el-GR"/>
        </w:rPr>
        <w:tab/>
      </w:r>
      <w:r w:rsidRPr="007626C4">
        <w:rPr>
          <w:lang w:val="el-GR"/>
        </w:rPr>
        <w:t>Ως προς το ζήτημα της εφαρμογής του Καν. 765/2008 και των απαιτήσεων διαπίστευσης</w:t>
      </w:r>
      <w:r w:rsidRPr="005B7461">
        <w:rPr>
          <w:lang w:val="el-GR"/>
        </w:rPr>
        <w:t xml:space="preserve">, </w:t>
      </w:r>
      <w:r w:rsidRPr="005B189E">
        <w:rPr>
          <w:lang w:val="el-GR"/>
        </w:rPr>
        <w:t>αναμένεται η</w:t>
      </w:r>
      <w:r w:rsidRPr="005B7461">
        <w:rPr>
          <w:lang w:val="el-GR"/>
        </w:rPr>
        <w:t xml:space="preserve"> έκδοση</w:t>
      </w:r>
      <w:r w:rsidRPr="007626C4">
        <w:rPr>
          <w:lang w:val="el-GR"/>
        </w:rPr>
        <w:t xml:space="preserve"> απόφασης της Ολομέλειας του </w:t>
      </w:r>
      <w:proofErr w:type="spellStart"/>
      <w:r w:rsidRPr="007626C4">
        <w:rPr>
          <w:lang w:val="el-GR"/>
        </w:rPr>
        <w:t>ΣτΕ</w:t>
      </w:r>
      <w:proofErr w:type="spellEnd"/>
      <w:r w:rsidRPr="007626C4">
        <w:rPr>
          <w:lang w:val="el-GR"/>
        </w:rPr>
        <w:t xml:space="preserve">, μετά από παραπομπή σε αυτήν, με την  απόφαση  </w:t>
      </w:r>
      <w:proofErr w:type="spellStart"/>
      <w:r w:rsidRPr="007626C4">
        <w:rPr>
          <w:lang w:val="el-GR"/>
        </w:rPr>
        <w:t>ΣτΕ</w:t>
      </w:r>
      <w:proofErr w:type="spellEnd"/>
      <w:r w:rsidRPr="007626C4">
        <w:rPr>
          <w:lang w:val="el-GR"/>
        </w:rPr>
        <w:t xml:space="preserve"> Δ’ Τμ. 1939/2022.</w:t>
      </w:r>
    </w:p>
  </w:footnote>
  <w:footnote w:id="63">
    <w:p w14:paraId="31B21A78" w14:textId="77777777" w:rsidR="0075659A" w:rsidRPr="006566B6" w:rsidRDefault="0075659A">
      <w:pPr>
        <w:pStyle w:val="af5"/>
        <w:rPr>
          <w:lang w:val="el-GR"/>
        </w:rPr>
      </w:pPr>
      <w:r w:rsidRPr="007626C4">
        <w:rPr>
          <w:rStyle w:val="ad"/>
        </w:rPr>
        <w:footnoteRef/>
      </w:r>
      <w:r w:rsidRPr="007626C4">
        <w:rPr>
          <w:rStyle w:val="a4"/>
          <w:vertAlign w:val="baseline"/>
          <w:lang w:val="el-GR"/>
        </w:rPr>
        <w:tab/>
      </w:r>
      <w:r w:rsidRPr="007626C4">
        <w:rPr>
          <w:lang w:val="el-GR"/>
        </w:rPr>
        <w:t>Άρθρο 78 ν. 4412/2016</w:t>
      </w:r>
    </w:p>
  </w:footnote>
  <w:footnote w:id="64">
    <w:p w14:paraId="18AE306F" w14:textId="77777777" w:rsidR="0075659A" w:rsidRPr="002B20BB" w:rsidRDefault="0075659A">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5">
    <w:p w14:paraId="7FDDC2C6" w14:textId="77777777" w:rsidR="0075659A" w:rsidRPr="00FC2FD7" w:rsidRDefault="0075659A">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B76F96">
        <w:rPr>
          <w:lang w:val="el-GR"/>
        </w:rPr>
        <w:t>πρβλ</w:t>
      </w:r>
      <w:proofErr w:type="spellEnd"/>
      <w:r w:rsidRPr="00B76F96">
        <w:rPr>
          <w:lang w:val="el-GR"/>
        </w:rPr>
        <w:t>. παρ. 5 άρθρου 131 του ν. 4412/2016</w:t>
      </w:r>
      <w:r>
        <w:rPr>
          <w:lang w:val="el-GR"/>
        </w:rPr>
        <w:t>)</w:t>
      </w:r>
      <w:r w:rsidRPr="00B76F96">
        <w:rPr>
          <w:lang w:val="el-GR"/>
        </w:rPr>
        <w:t>.</w:t>
      </w:r>
    </w:p>
  </w:footnote>
  <w:footnote w:id="66">
    <w:p w14:paraId="79863244" w14:textId="77777777" w:rsidR="0075659A" w:rsidRDefault="0075659A" w:rsidP="007F65D6">
      <w:pPr>
        <w:pStyle w:val="af5"/>
        <w:rPr>
          <w:lang w:val="el-GR"/>
        </w:rPr>
      </w:pPr>
      <w:r>
        <w:rPr>
          <w:rStyle w:val="a8"/>
        </w:rPr>
        <w:footnoteRef/>
      </w:r>
      <w:r>
        <w:rPr>
          <w:lang w:val="el-GR"/>
        </w:rPr>
        <w:tab/>
        <w:t>Άρθρο 78 παρ. 1 ν. 4412/2016.</w:t>
      </w:r>
    </w:p>
  </w:footnote>
  <w:footnote w:id="67">
    <w:p w14:paraId="2C436326" w14:textId="77777777" w:rsidR="0075659A" w:rsidRDefault="0075659A" w:rsidP="007F65D6">
      <w:pPr>
        <w:pStyle w:val="af5"/>
        <w:rPr>
          <w:lang w:val="el-GR"/>
        </w:rPr>
      </w:pPr>
      <w:r>
        <w:rPr>
          <w:rStyle w:val="a8"/>
        </w:rPr>
        <w:footnoteRef/>
      </w:r>
      <w:r>
        <w:rPr>
          <w:lang w:val="el-GR"/>
        </w:rPr>
        <w:tab/>
        <w:t>Άρθρο 131 παρ. 6 ν. 4412/2016</w:t>
      </w:r>
    </w:p>
  </w:footnote>
  <w:footnote w:id="68">
    <w:p w14:paraId="303F79CE" w14:textId="77777777" w:rsidR="0075659A" w:rsidRPr="00BD65F6" w:rsidRDefault="0075659A"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69">
    <w:p w14:paraId="0E3094E1" w14:textId="77777777" w:rsidR="0075659A" w:rsidRPr="007B335B" w:rsidRDefault="0075659A">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70">
    <w:p w14:paraId="158D9751" w14:textId="77777777" w:rsidR="0075659A" w:rsidRDefault="0075659A">
      <w:pPr>
        <w:pStyle w:val="af5"/>
        <w:rPr>
          <w:lang w:val="el-GR"/>
        </w:rPr>
      </w:pPr>
      <w:r>
        <w:rPr>
          <w:rStyle w:val="a8"/>
        </w:rPr>
        <w:footnoteRef/>
      </w:r>
      <w:r>
        <w:rPr>
          <w:lang w:val="el-GR"/>
        </w:rPr>
        <w:tab/>
      </w:r>
      <w:r>
        <w:rPr>
          <w:lang w:val="el-GR"/>
        </w:rPr>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w:t>
      </w:r>
      <w:hyperlink r:id="rId3" w:history="1">
        <w:r w:rsidRPr="001A5B45">
          <w:rPr>
            <w:rStyle w:val="-"/>
            <w:lang w:val="el-GR"/>
          </w:rPr>
          <w:t>https://espd.eprocurement.gov.gr/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4" w:history="1">
        <w:r>
          <w:rPr>
            <w:rStyle w:val="-"/>
            <w:lang w:val="el-GR"/>
          </w:rPr>
          <w:t>www.promitheus.gov.gr</w:t>
        </w:r>
      </w:hyperlink>
      <w:r>
        <w:rPr>
          <w:lang w:val="el-GR"/>
        </w:rPr>
        <w:t xml:space="preserve"> </w:t>
      </w:r>
      <w:hyperlink r:id="rId5" w:history="1">
        <w:r w:rsidRPr="001A5B45">
          <w:rPr>
            <w:rStyle w:val="-"/>
            <w:lang w:val="el-GR"/>
          </w:rPr>
          <w:t>https://portal.eprocurement.gov.gr/webcenter/portal/TestPortal</w:t>
        </w:r>
      </w:hyperlink>
      <w:r>
        <w:rPr>
          <w:lang w:val="el-GR"/>
        </w:rPr>
        <w:t xml:space="preserve">. </w:t>
      </w:r>
    </w:p>
    <w:p w14:paraId="78CC2253" w14:textId="6924E537" w:rsidR="0075659A" w:rsidRPr="007B335B" w:rsidRDefault="0075659A" w:rsidP="00F85F25">
      <w:pPr>
        <w:pStyle w:val="af5"/>
        <w:ind w:firstLine="1"/>
        <w:rPr>
          <w:lang w:val="el-GR"/>
        </w:rPr>
      </w:pPr>
      <w:r w:rsidRPr="009E23A8">
        <w:rPr>
          <w:lang w:val="el-GR"/>
        </w:rPr>
        <w:t>`1</w:t>
      </w:r>
      <w:proofErr w:type="spellStart"/>
      <w:r>
        <w:rPr>
          <w:lang w:val="en-US"/>
        </w:rPr>
        <w:t>waxxxxzz</w:t>
      </w:r>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6" w:history="1">
        <w:r>
          <w:rPr>
            <w:rStyle w:val="-"/>
            <w:color w:val="auto"/>
            <w:lang w:val="el-GR"/>
          </w:rPr>
          <w:t>https://eur-lex.europa.eu/legal-content/EL/TXT/HTML/?uri=CELEX:32016R0007R(01)&amp;from=EL</w:t>
        </w:r>
      </w:hyperlink>
      <w:r>
        <w:rPr>
          <w:lang w:val="el-GR"/>
        </w:rPr>
        <w:t xml:space="preserve">            </w:t>
      </w:r>
    </w:p>
  </w:footnote>
  <w:footnote w:id="71">
    <w:p w14:paraId="4A4DB8E5" w14:textId="77777777" w:rsidR="0075659A" w:rsidRPr="007B335B" w:rsidRDefault="0075659A" w:rsidP="00412714">
      <w:pPr>
        <w:pStyle w:val="af5"/>
        <w:rPr>
          <w:lang w:val="el-GR"/>
        </w:rPr>
      </w:pPr>
      <w:r w:rsidRPr="00412714">
        <w:rPr>
          <w:rStyle w:val="a8"/>
        </w:rPr>
        <w:footnoteRef/>
      </w:r>
      <w:r w:rsidRPr="00412714">
        <w:rPr>
          <w:lang w:val="el-GR"/>
        </w:rPr>
        <w:tab/>
        <w:t>Άρθρο 79Α παρ. 4 του ν. 4412/2016</w:t>
      </w:r>
    </w:p>
  </w:footnote>
  <w:footnote w:id="72">
    <w:p w14:paraId="22BB1504" w14:textId="77777777" w:rsidR="0075659A" w:rsidRPr="007B335B" w:rsidRDefault="0075659A" w:rsidP="00C53CD7">
      <w:pPr>
        <w:pStyle w:val="af5"/>
        <w:rPr>
          <w:lang w:val="el-GR"/>
        </w:rPr>
      </w:pPr>
      <w:r>
        <w:rPr>
          <w:rStyle w:val="ad"/>
        </w:rPr>
        <w:footnoteRef/>
      </w:r>
      <w:r>
        <w:rPr>
          <w:lang w:val="el-GR"/>
        </w:rPr>
        <w:tab/>
        <w:t>Ά</w:t>
      </w:r>
      <w:r w:rsidRPr="00FD2238">
        <w:rPr>
          <w:lang w:val="el-GR"/>
        </w:rPr>
        <w:t>ρθρο 79 παρ. 9 του ν. 4412/2016</w:t>
      </w:r>
    </w:p>
  </w:footnote>
  <w:footnote w:id="73">
    <w:p w14:paraId="78E21BE9" w14:textId="77777777" w:rsidR="0075659A" w:rsidRPr="00BD65F6" w:rsidRDefault="0075659A" w:rsidP="00E14C02">
      <w:pPr>
        <w:pStyle w:val="af5"/>
        <w:rPr>
          <w:lang w:val="el-GR"/>
        </w:rPr>
      </w:pPr>
      <w:r>
        <w:rPr>
          <w:rStyle w:val="ad"/>
        </w:rPr>
        <w:footnoteRef/>
      </w:r>
      <w:r>
        <w:rPr>
          <w:lang w:val="el-GR"/>
        </w:rPr>
        <w:tab/>
      </w:r>
      <w:r w:rsidRPr="00BD65F6">
        <w:rPr>
          <w:lang w:val="el-GR"/>
        </w:rPr>
        <w:t xml:space="preserve">βλ. Δ.Ε.Ε. απόφαση της 19.6.2019, </w:t>
      </w:r>
      <w:proofErr w:type="spellStart"/>
      <w:r w:rsidRPr="005A00D1">
        <w:t>Meca</w:t>
      </w:r>
      <w:proofErr w:type="spellEnd"/>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74">
    <w:p w14:paraId="1555BB80" w14:textId="77777777" w:rsidR="0075659A" w:rsidRPr="00BD65F6" w:rsidRDefault="0075659A" w:rsidP="00E14C02">
      <w:pPr>
        <w:pStyle w:val="af5"/>
        <w:rPr>
          <w:lang w:val="el-GR"/>
        </w:rPr>
      </w:pPr>
      <w:r>
        <w:rPr>
          <w:rStyle w:val="ad"/>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75">
    <w:p w14:paraId="1506C8BD" w14:textId="77777777" w:rsidR="0075659A" w:rsidRPr="00BD65F6" w:rsidRDefault="0075659A"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76">
    <w:p w14:paraId="404FA6B8" w14:textId="77777777" w:rsidR="0075659A" w:rsidRPr="00BD65F6" w:rsidRDefault="0075659A"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77">
    <w:p w14:paraId="4ABBB331" w14:textId="77777777" w:rsidR="0075659A" w:rsidRPr="00125B0B" w:rsidRDefault="0075659A">
      <w:pPr>
        <w:pStyle w:val="af5"/>
        <w:rPr>
          <w:lang w:val="el-GR"/>
        </w:rPr>
      </w:pPr>
      <w:r>
        <w:rPr>
          <w:rStyle w:val="ad"/>
        </w:rPr>
        <w:footnoteRef/>
      </w:r>
      <w:r w:rsidRPr="0022250D">
        <w:rPr>
          <w:lang w:val="el-GR"/>
        </w:rPr>
        <w:t xml:space="preserve"> </w:t>
      </w:r>
      <w:r>
        <w:rPr>
          <w:lang w:val="el-GR"/>
        </w:rPr>
        <w:tab/>
      </w:r>
      <w:proofErr w:type="spellStart"/>
      <w:r w:rsidRPr="000649DF">
        <w:rPr>
          <w:lang w:val="el-GR"/>
        </w:rPr>
        <w:t>Πρβλ</w:t>
      </w:r>
      <w:proofErr w:type="spellEnd"/>
      <w:r w:rsidRPr="000649DF">
        <w:rPr>
          <w:lang w:val="el-GR"/>
        </w:rPr>
        <w:t xml:space="preserve">. Άρθρο 5 της Υ.Α. </w:t>
      </w:r>
      <w:proofErr w:type="spellStart"/>
      <w:r w:rsidRPr="000649DF">
        <w:rPr>
          <w:lang w:val="el-GR"/>
        </w:rPr>
        <w:t>υπ’αριθμ</w:t>
      </w:r>
      <w:proofErr w:type="spellEnd"/>
      <w:r w:rsidRPr="000649DF">
        <w:rPr>
          <w:lang w:val="el-GR"/>
        </w:rPr>
        <w:t>. 102080/24-10-2022 «Ρύθμιση θεμάτων σχετικά με την εξέταση επανορθωτικών μέτρων από την Επιτροπή της παρ.</w:t>
      </w:r>
      <w:r w:rsidRPr="000649DF">
        <w:t>  </w:t>
      </w:r>
      <w:r w:rsidRPr="000649DF">
        <w:rPr>
          <w:lang w:val="el-GR"/>
        </w:rPr>
        <w:t>9 του άρθρου 73 του ν.</w:t>
      </w:r>
      <w:r w:rsidRPr="000649DF">
        <w:t> </w:t>
      </w:r>
      <w:r w:rsidRPr="000649DF">
        <w:rPr>
          <w:lang w:val="el-GR"/>
        </w:rPr>
        <w:t>4412/2016», ΦΕΚ Β/02-11-2022</w:t>
      </w:r>
    </w:p>
  </w:footnote>
  <w:footnote w:id="78">
    <w:p w14:paraId="1DD62A2E" w14:textId="617A188D" w:rsidR="0075659A" w:rsidRPr="007B335B" w:rsidRDefault="0075659A">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ζητεί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9">
    <w:p w14:paraId="3C1CF636" w14:textId="77777777" w:rsidR="0075659A" w:rsidRPr="007B335B" w:rsidRDefault="0075659A">
      <w:pPr>
        <w:pStyle w:val="af5"/>
        <w:rPr>
          <w:lang w:val="el-GR"/>
        </w:rPr>
      </w:pPr>
      <w:r>
        <w:rPr>
          <w:rStyle w:val="a8"/>
        </w:rPr>
        <w:footnoteRef/>
      </w:r>
      <w:r>
        <w:rPr>
          <w:lang w:val="el-GR"/>
        </w:rPr>
        <w:tab/>
        <w:t>Άρθρο 79 παρ. 6 ν. 4412/2016.</w:t>
      </w:r>
    </w:p>
  </w:footnote>
  <w:footnote w:id="80">
    <w:p w14:paraId="3E1E44BE" w14:textId="2386EED1" w:rsidR="0075659A" w:rsidRPr="00A94B44" w:rsidRDefault="0075659A">
      <w:pPr>
        <w:pStyle w:val="af5"/>
        <w:rPr>
          <w:lang w:val="el-GR"/>
        </w:rPr>
      </w:pPr>
      <w:r>
        <w:rPr>
          <w:rStyle w:val="ad"/>
        </w:rPr>
        <w:footnoteRef/>
      </w:r>
      <w:r w:rsidRPr="00A94B44">
        <w:rPr>
          <w:lang w:val="el-GR"/>
        </w:rPr>
        <w:t xml:space="preserve"> </w:t>
      </w:r>
      <w:r>
        <w:rPr>
          <w:lang w:val="el-GR"/>
        </w:rPr>
        <w:tab/>
      </w:r>
      <w:proofErr w:type="spellStart"/>
      <w:r>
        <w:rPr>
          <w:lang w:val="el-GR"/>
        </w:rPr>
        <w:t>Πρβλ</w:t>
      </w:r>
      <w:proofErr w:type="spellEnd"/>
      <w:r>
        <w:rPr>
          <w:lang w:val="el-GR"/>
        </w:rPr>
        <w:t>.</w:t>
      </w:r>
      <w:r w:rsidRPr="000649DF">
        <w:rPr>
          <w:lang w:val="el-GR"/>
        </w:rPr>
        <w:t xml:space="preserve"> Απόφαση </w:t>
      </w:r>
      <w:proofErr w:type="spellStart"/>
      <w:r w:rsidRPr="000649DF">
        <w:rPr>
          <w:lang w:val="el-GR"/>
        </w:rPr>
        <w:t>ΣτΕ</w:t>
      </w:r>
      <w:proofErr w:type="spellEnd"/>
      <w:r w:rsidRPr="000649DF">
        <w:rPr>
          <w:lang w:val="el-GR"/>
        </w:rPr>
        <w:t xml:space="preserve"> Δ’ Τμ. 1939/2022</w:t>
      </w:r>
      <w:r>
        <w:rPr>
          <w:lang w:val="el-GR"/>
        </w:rPr>
        <w:t xml:space="preserve">. Οι </w:t>
      </w:r>
      <w:r w:rsidRPr="000649DF">
        <w:rPr>
          <w:lang w:val="el-GR"/>
        </w:rPr>
        <w:t xml:space="preserve">οικονομικοί φορείς μεριμνούν </w:t>
      </w:r>
      <w:r>
        <w:rPr>
          <w:lang w:val="el-GR"/>
        </w:rPr>
        <w:t>για την έκδοση και προσκόμιση των σχετικών πιστοποιητικών</w:t>
      </w:r>
      <w:r w:rsidRPr="000649DF">
        <w:rPr>
          <w:lang w:val="el-GR"/>
        </w:rPr>
        <w:t xml:space="preserve">, </w:t>
      </w:r>
      <w:r>
        <w:rPr>
          <w:lang w:val="el-GR"/>
        </w:rPr>
        <w:t>έ</w:t>
      </w:r>
      <w:r w:rsidRPr="000649DF">
        <w:rPr>
          <w:lang w:val="el-GR"/>
        </w:rPr>
        <w:t xml:space="preserve">ως την έκδοση οριστικής απόφασης από την Ολομέλεια του </w:t>
      </w:r>
      <w:proofErr w:type="spellStart"/>
      <w:r w:rsidRPr="000649DF">
        <w:rPr>
          <w:lang w:val="el-GR"/>
        </w:rPr>
        <w:t>ΣτΕ</w:t>
      </w:r>
      <w:proofErr w:type="spellEnd"/>
      <w:r w:rsidRPr="000649DF">
        <w:rPr>
          <w:lang w:val="el-GR"/>
        </w:rPr>
        <w:t xml:space="preserve"> (στην οποία έχει παραπεμφθεί η σχετική υπόθεση</w:t>
      </w:r>
      <w:r>
        <w:rPr>
          <w:lang w:val="el-GR"/>
        </w:rPr>
        <w:t xml:space="preserve">). </w:t>
      </w:r>
    </w:p>
  </w:footnote>
  <w:footnote w:id="81">
    <w:p w14:paraId="2A3FFFAC" w14:textId="77777777" w:rsidR="0075659A" w:rsidRPr="007B335B" w:rsidRDefault="0075659A">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82">
    <w:p w14:paraId="74402A5F" w14:textId="77777777" w:rsidR="0075659A" w:rsidRPr="00B55565" w:rsidRDefault="0075659A">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83">
    <w:p w14:paraId="0ECFEE7A" w14:textId="77777777" w:rsidR="0075659A" w:rsidRPr="00B55565" w:rsidRDefault="0075659A">
      <w:pPr>
        <w:pStyle w:val="af5"/>
        <w:rPr>
          <w:lang w:val="el-GR"/>
        </w:rPr>
      </w:pPr>
      <w:r>
        <w:rPr>
          <w:rStyle w:val="a8"/>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4">
    <w:p w14:paraId="59FC8534" w14:textId="77777777" w:rsidR="0075659A" w:rsidRPr="00B55565" w:rsidRDefault="0075659A">
      <w:pPr>
        <w:pStyle w:val="af5"/>
        <w:rPr>
          <w:lang w:val="el-GR"/>
        </w:rPr>
      </w:pPr>
      <w:r>
        <w:rPr>
          <w:rStyle w:val="a8"/>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85">
    <w:p w14:paraId="517EA3BA" w14:textId="77777777" w:rsidR="0075659A" w:rsidRPr="00B1220E" w:rsidRDefault="0075659A" w:rsidP="007575F1">
      <w:pPr>
        <w:pStyle w:val="af5"/>
        <w:rPr>
          <w:lang w:val="el-GR"/>
        </w:rPr>
      </w:pPr>
      <w:r>
        <w:rPr>
          <w:rStyle w:val="a8"/>
        </w:rPr>
        <w:footnoteRef/>
      </w:r>
      <w:r>
        <w:rPr>
          <w:lang w:val="el-GR"/>
        </w:rPr>
        <w:tab/>
      </w:r>
      <w:r w:rsidRPr="00AD164C">
        <w:rPr>
          <w:lang w:val="el-GR"/>
        </w:rPr>
        <w:t xml:space="preserve">Συμπληρώνεται από την Α.Α. με ένα ή περισσότερα από τα δικαιολογητικά που αναφέρονται στο Μέρος </w:t>
      </w:r>
      <w:r w:rsidRPr="00AD164C">
        <w:t>II</w:t>
      </w:r>
      <w:r w:rsidRPr="00AD164C">
        <w:rPr>
          <w:lang w:val="el-GR"/>
        </w:rPr>
        <w:t xml:space="preserve"> του Παραρτήματος </w:t>
      </w:r>
      <w:r w:rsidRPr="00AD164C">
        <w:t>XII</w:t>
      </w:r>
      <w:r w:rsidRPr="00282602">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w:t>
      </w:r>
      <w:r w:rsidRPr="00B1220E">
        <w:rPr>
          <w:lang w:val="el-GR"/>
        </w:rPr>
        <w:t xml:space="preserve"> η αναθέτουσα αρχή στο άρθρο 2.2.6.</w:t>
      </w:r>
    </w:p>
  </w:footnote>
  <w:footnote w:id="86">
    <w:p w14:paraId="73C0CFA2" w14:textId="77777777" w:rsidR="0075659A" w:rsidRPr="00AD164C" w:rsidRDefault="0075659A" w:rsidP="00C73DB8">
      <w:pPr>
        <w:pStyle w:val="af5"/>
        <w:rPr>
          <w:lang w:val="el-GR"/>
        </w:rPr>
      </w:pPr>
      <w:r>
        <w:rPr>
          <w:rStyle w:val="ad"/>
        </w:rPr>
        <w:footnoteRef/>
      </w:r>
      <w:r w:rsidRPr="00BD65F6">
        <w:rPr>
          <w:lang w:val="el-GR"/>
        </w:rPr>
        <w:t xml:space="preserve"> </w:t>
      </w:r>
      <w:r>
        <w:rPr>
          <w:lang w:val="el-GR"/>
        </w:rPr>
        <w:t xml:space="preserve">  </w:t>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14:paraId="46EA642D" w14:textId="77777777" w:rsidR="0075659A" w:rsidRPr="00510A93" w:rsidRDefault="0075659A" w:rsidP="00510A93">
      <w:pPr>
        <w:pStyle w:val="af5"/>
        <w:ind w:left="426" w:hanging="284"/>
        <w:rPr>
          <w:lang w:val="el-GR"/>
        </w:rPr>
      </w:pPr>
    </w:p>
    <w:p w14:paraId="2911E299" w14:textId="77777777" w:rsidR="0075659A" w:rsidRPr="00510A93" w:rsidRDefault="0075659A" w:rsidP="00510A93">
      <w:pPr>
        <w:pStyle w:val="af5"/>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14:paraId="2E2ECFAA" w14:textId="77777777" w:rsidR="0075659A" w:rsidRPr="00510A93" w:rsidRDefault="0075659A" w:rsidP="00510A93">
      <w:pPr>
        <w:pStyle w:val="af5"/>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14:paraId="54E17C8E" w14:textId="77777777" w:rsidR="0075659A" w:rsidRPr="00510A93" w:rsidRDefault="0075659A" w:rsidP="00C37C88">
      <w:pPr>
        <w:pStyle w:val="af5"/>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14:paraId="69743E95" w14:textId="77777777" w:rsidR="0075659A" w:rsidRPr="00510A93" w:rsidRDefault="0075659A" w:rsidP="00C37C88">
      <w:pPr>
        <w:pStyle w:val="af5"/>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14:paraId="2B91C2A8" w14:textId="77777777" w:rsidR="0075659A" w:rsidRPr="00510A93" w:rsidRDefault="0075659A" w:rsidP="00EA1963">
      <w:pPr>
        <w:pStyle w:val="af5"/>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14:paraId="11E5696C" w14:textId="77777777" w:rsidR="0075659A" w:rsidRPr="00510A93" w:rsidRDefault="0075659A" w:rsidP="00D915FF">
      <w:pPr>
        <w:pStyle w:val="af5"/>
        <w:ind w:left="426" w:hanging="284"/>
        <w:rPr>
          <w:lang w:val="el-GR"/>
        </w:rPr>
      </w:pPr>
      <w:r w:rsidRPr="00510A93">
        <w:rPr>
          <w:lang w:val="el-GR"/>
        </w:rPr>
        <w:t xml:space="preserve"> στ) η Κοινωνική Συνεταιριστική Επιχείρηση (</w:t>
      </w:r>
      <w:proofErr w:type="spellStart"/>
      <w:r w:rsidRPr="00510A93">
        <w:rPr>
          <w:lang w:val="el-GR"/>
        </w:rPr>
        <w:t>Κοιν.Σ.ΕΠ</w:t>
      </w:r>
      <w:proofErr w:type="spellEnd"/>
      <w:r w:rsidRPr="00510A93">
        <w:rPr>
          <w:lang w:val="el-GR"/>
        </w:rPr>
        <w:t xml:space="preserve">.)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14:paraId="290A052A" w14:textId="77777777" w:rsidR="0075659A" w:rsidRPr="00510A93" w:rsidRDefault="0075659A" w:rsidP="00D915FF">
      <w:pPr>
        <w:pStyle w:val="af5"/>
        <w:ind w:left="426" w:hanging="284"/>
        <w:rPr>
          <w:lang w:val="el-GR"/>
        </w:rPr>
      </w:pPr>
      <w:r w:rsidRPr="00510A93">
        <w:rPr>
          <w:lang w:val="el-GR"/>
        </w:rPr>
        <w:t xml:space="preserve"> ζ) ο Κοινωνικός Συνεταιρισμός Περιορισμένης Ευθύνης (</w:t>
      </w:r>
      <w:proofErr w:type="spellStart"/>
      <w:r w:rsidRPr="00510A93">
        <w:rPr>
          <w:lang w:val="el-GR"/>
        </w:rPr>
        <w:t>Κοιν.Σ.Π.Ε</w:t>
      </w:r>
      <w:proofErr w:type="spellEnd"/>
      <w:r w:rsidRPr="00510A93">
        <w:rPr>
          <w:lang w:val="el-GR"/>
        </w:rPr>
        <w:t xml:space="preserve">.)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14:paraId="0074E731" w14:textId="77777777" w:rsidR="0075659A" w:rsidRPr="00510A93" w:rsidRDefault="0075659A" w:rsidP="002667D1">
      <w:pPr>
        <w:pStyle w:val="af5"/>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1FD5E87E" w14:textId="77777777" w:rsidR="0075659A" w:rsidRPr="00510A93" w:rsidRDefault="0075659A" w:rsidP="00804EA0">
      <w:pPr>
        <w:pStyle w:val="af5"/>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14:paraId="6C44EB42" w14:textId="77777777" w:rsidR="0075659A" w:rsidRPr="00510A93" w:rsidRDefault="0075659A" w:rsidP="00804EA0">
      <w:pPr>
        <w:pStyle w:val="af5"/>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14:paraId="2B02453E" w14:textId="77777777" w:rsidR="0075659A" w:rsidRPr="00510A93" w:rsidRDefault="0075659A" w:rsidP="006D1BFC">
      <w:pPr>
        <w:pStyle w:val="af5"/>
        <w:ind w:left="426" w:hanging="284"/>
        <w:rPr>
          <w:lang w:val="el-GR"/>
        </w:rPr>
      </w:pPr>
      <w:r w:rsidRPr="00510A93">
        <w:rPr>
          <w:lang w:val="el-GR"/>
        </w:rPr>
        <w:t xml:space="preserve"> ια) η Ευρωπαϊκή Συνεταιριστική Εταιρεία του Κανονισμού (ΕΚ) 1435/2003 (L 207), που έχει την έδρα της στην ημεδαπή,</w:t>
      </w:r>
    </w:p>
    <w:p w14:paraId="112719F1" w14:textId="77777777" w:rsidR="0075659A" w:rsidRPr="00510A93" w:rsidRDefault="0075659A" w:rsidP="00F0746C">
      <w:pPr>
        <w:pStyle w:val="af5"/>
        <w:ind w:left="426" w:hanging="284"/>
        <w:rPr>
          <w:lang w:val="el-GR"/>
        </w:rPr>
      </w:pPr>
      <w:r w:rsidRPr="00510A93">
        <w:rPr>
          <w:lang w:val="el-GR"/>
        </w:rPr>
        <w:t xml:space="preserve"> ιβ)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14:paraId="241AF1CB" w14:textId="77777777" w:rsidR="0075659A" w:rsidRPr="00510A93" w:rsidRDefault="0075659A" w:rsidP="00F0746C">
      <w:pPr>
        <w:pStyle w:val="af5"/>
        <w:ind w:left="426" w:hanging="284"/>
        <w:rPr>
          <w:lang w:val="el-GR"/>
        </w:rPr>
      </w:pPr>
      <w:r w:rsidRPr="00510A93">
        <w:rPr>
          <w:lang w:val="el-GR"/>
        </w:rPr>
        <w:t xml:space="preserve"> ιγ)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w:t>
      </w:r>
      <w:proofErr w:type="spellStart"/>
      <w:r w:rsidRPr="00510A93">
        <w:rPr>
          <w:lang w:val="el-GR"/>
        </w:rPr>
        <w:t>περ</w:t>
      </w:r>
      <w:proofErr w:type="spellEnd"/>
      <w:r w:rsidRPr="00510A93">
        <w:rPr>
          <w:lang w:val="el-GR"/>
        </w:rPr>
        <w:t>. ιβ),</w:t>
      </w:r>
    </w:p>
    <w:p w14:paraId="38BAB7E9" w14:textId="77777777" w:rsidR="0075659A" w:rsidRPr="00510A93" w:rsidRDefault="0075659A" w:rsidP="00AF0226">
      <w:pPr>
        <w:pStyle w:val="af5"/>
        <w:ind w:left="426" w:hanging="284"/>
        <w:rPr>
          <w:lang w:val="el-GR"/>
        </w:rPr>
      </w:pPr>
      <w:r w:rsidRPr="00510A93">
        <w:rPr>
          <w:lang w:val="el-GR"/>
        </w:rPr>
        <w:t xml:space="preserve"> ιδ)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w:t>
      </w:r>
      <w:proofErr w:type="spellStart"/>
      <w:r w:rsidRPr="00510A93">
        <w:rPr>
          <w:lang w:val="el-GR"/>
        </w:rPr>
        <w:t>περ</w:t>
      </w:r>
      <w:proofErr w:type="spellEnd"/>
      <w:r w:rsidRPr="00510A93">
        <w:rPr>
          <w:lang w:val="el-GR"/>
        </w:rPr>
        <w:t>. ιβ) και ιγ),</w:t>
      </w:r>
    </w:p>
    <w:p w14:paraId="6E2E4434" w14:textId="77777777" w:rsidR="0075659A" w:rsidRPr="00510A93" w:rsidRDefault="0075659A" w:rsidP="0036629B">
      <w:pPr>
        <w:pStyle w:val="af5"/>
        <w:ind w:left="426" w:hanging="284"/>
        <w:rPr>
          <w:lang w:val="el-GR"/>
        </w:rPr>
      </w:pPr>
      <w:r w:rsidRPr="00510A93">
        <w:rPr>
          <w:lang w:val="el-GR"/>
        </w:rPr>
        <w:t xml:space="preserve"> ιε)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7FFB6191" w14:textId="77777777" w:rsidR="0075659A" w:rsidRPr="00510A93" w:rsidRDefault="0075659A" w:rsidP="004E533E">
      <w:pPr>
        <w:pStyle w:val="af5"/>
        <w:ind w:left="426" w:hanging="284"/>
        <w:rPr>
          <w:lang w:val="el-GR"/>
        </w:rPr>
      </w:pPr>
      <w:r w:rsidRPr="00510A93">
        <w:rPr>
          <w:lang w:val="el-GR"/>
        </w:rPr>
        <w:t xml:space="preserve"> ιστ) οι ατομικές επιχειρήσεις με εγκατάσταση στην ημεδαπή και σκοπό το κέρδος που:</w:t>
      </w:r>
    </w:p>
    <w:p w14:paraId="69DB006B" w14:textId="77777777" w:rsidR="0075659A" w:rsidRPr="00510A93" w:rsidRDefault="0075659A" w:rsidP="00F84A58">
      <w:pPr>
        <w:pStyle w:val="af5"/>
        <w:ind w:left="426" w:hanging="284"/>
        <w:rPr>
          <w:lang w:val="el-GR"/>
        </w:rPr>
      </w:pPr>
      <w:r w:rsidRPr="00510A93">
        <w:rPr>
          <w:lang w:val="el-GR"/>
        </w:rPr>
        <w:t xml:space="preserve"> </w:t>
      </w:r>
      <w:proofErr w:type="spellStart"/>
      <w:r w:rsidRPr="00510A93">
        <w:rPr>
          <w:lang w:val="el-GR"/>
        </w:rPr>
        <w:t>ιστα</w:t>
      </w:r>
      <w:proofErr w:type="spellEnd"/>
      <w:r w:rsidRPr="00510A93">
        <w:rPr>
          <w:lang w:val="el-GR"/>
        </w:rPr>
        <w:t>) διενεργούν εμπορικές πράξεις στο όνομά τους, κατά σύνηθες επάγγελμα, ή</w:t>
      </w:r>
    </w:p>
    <w:p w14:paraId="11ABF5BF" w14:textId="77777777" w:rsidR="0075659A" w:rsidRPr="00510A93" w:rsidRDefault="0075659A" w:rsidP="002F4DB0">
      <w:pPr>
        <w:pStyle w:val="af5"/>
        <w:ind w:left="426" w:hanging="284"/>
        <w:rPr>
          <w:lang w:val="el-GR"/>
        </w:rPr>
      </w:pPr>
      <w:r w:rsidRPr="00510A93">
        <w:rPr>
          <w:lang w:val="el-GR"/>
        </w:rPr>
        <w:t xml:space="preserve"> </w:t>
      </w:r>
      <w:proofErr w:type="spellStart"/>
      <w:r w:rsidRPr="00510A93">
        <w:rPr>
          <w:lang w:val="el-GR"/>
        </w:rPr>
        <w:t>ιστβ</w:t>
      </w:r>
      <w:proofErr w:type="spellEnd"/>
      <w:r w:rsidRPr="00510A93">
        <w:rPr>
          <w:lang w:val="el-GR"/>
        </w:rPr>
        <w:t>)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14:paraId="0CFF50F2" w14:textId="77777777" w:rsidR="0075659A" w:rsidRPr="00510A93" w:rsidRDefault="0075659A" w:rsidP="005C14BB">
      <w:pPr>
        <w:pStyle w:val="af5"/>
        <w:ind w:left="426" w:hanging="284"/>
        <w:rPr>
          <w:lang w:val="el-GR"/>
        </w:rPr>
      </w:pPr>
    </w:p>
    <w:p w14:paraId="39D0FC00" w14:textId="77777777" w:rsidR="0075659A" w:rsidRPr="00510A93" w:rsidRDefault="0075659A" w:rsidP="005C14BB">
      <w:pPr>
        <w:pStyle w:val="af5"/>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r w:rsidRPr="00510A93">
        <w:rPr>
          <w:lang w:val="el-GR"/>
        </w:rPr>
        <w:t xml:space="preserve"> </w:t>
      </w:r>
    </w:p>
    <w:p w14:paraId="21606CA9" w14:textId="77777777" w:rsidR="0075659A" w:rsidRPr="00510A93" w:rsidRDefault="0075659A" w:rsidP="005C14BB">
      <w:pPr>
        <w:pStyle w:val="af5"/>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14:paraId="0B354F03" w14:textId="77777777" w:rsidR="0075659A" w:rsidRPr="00510A93" w:rsidRDefault="0075659A" w:rsidP="000130D0">
      <w:pPr>
        <w:pStyle w:val="af5"/>
        <w:ind w:left="426" w:hanging="284"/>
        <w:rPr>
          <w:lang w:val="el-GR"/>
        </w:rPr>
      </w:pPr>
    </w:p>
    <w:p w14:paraId="1724E1BC" w14:textId="77777777" w:rsidR="0075659A" w:rsidRPr="000A5B86" w:rsidRDefault="0075659A" w:rsidP="000561E7">
      <w:pPr>
        <w:pStyle w:val="af5"/>
        <w:ind w:left="426" w:hanging="284"/>
        <w:rPr>
          <w:b/>
          <w:lang w:val="el-GR"/>
        </w:rPr>
      </w:pPr>
      <w:r>
        <w:rPr>
          <w:lang w:val="el-GR"/>
        </w:rPr>
        <w:t xml:space="preserve"> </w:t>
      </w:r>
      <w:r w:rsidRPr="000A5B86">
        <w:rPr>
          <w:b/>
          <w:lang w:val="el-GR"/>
        </w:rPr>
        <w:t>Δεν εγγράφονται στο Γ.Ε.ΜΗ.:</w:t>
      </w:r>
    </w:p>
    <w:p w14:paraId="7CF4B33F" w14:textId="77777777" w:rsidR="0075659A" w:rsidRPr="00510A93" w:rsidRDefault="0075659A" w:rsidP="000561E7">
      <w:pPr>
        <w:pStyle w:val="af5"/>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14:paraId="528D82CE" w14:textId="77777777" w:rsidR="0075659A" w:rsidRDefault="0075659A" w:rsidP="000561E7">
      <w:pPr>
        <w:pStyle w:val="af5"/>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14:paraId="19DFE9B0" w14:textId="77777777" w:rsidR="0075659A" w:rsidRPr="00510A93" w:rsidRDefault="0075659A" w:rsidP="000561E7">
      <w:pPr>
        <w:pStyle w:val="af5"/>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14:paraId="3E14B80A" w14:textId="77777777" w:rsidR="0075659A" w:rsidRPr="00510A93" w:rsidRDefault="0075659A" w:rsidP="000561E7">
      <w:pPr>
        <w:pStyle w:val="af5"/>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14:paraId="3BE52CD4" w14:textId="77777777" w:rsidR="0075659A" w:rsidRPr="00BD65F6" w:rsidRDefault="0075659A" w:rsidP="000561E7">
      <w:pPr>
        <w:pStyle w:val="af5"/>
        <w:ind w:left="426" w:hanging="284"/>
        <w:rPr>
          <w:lang w:val="el-GR"/>
        </w:rPr>
      </w:pPr>
    </w:p>
  </w:footnote>
  <w:footnote w:id="87">
    <w:p w14:paraId="61F588A5" w14:textId="77777777" w:rsidR="0075659A" w:rsidRPr="00733D63" w:rsidRDefault="0075659A" w:rsidP="00E664B2">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38814A9" w14:textId="77777777" w:rsidR="0075659A" w:rsidRPr="00733D63" w:rsidRDefault="0075659A" w:rsidP="0070571D">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88">
    <w:p w14:paraId="368D4E65" w14:textId="77777777" w:rsidR="0075659A" w:rsidRPr="00BD65F6" w:rsidRDefault="0075659A">
      <w:pPr>
        <w:pStyle w:val="af5"/>
        <w:rPr>
          <w:lang w:val="el-GR"/>
        </w:rPr>
      </w:pPr>
      <w:r>
        <w:rPr>
          <w:rStyle w:val="a8"/>
        </w:rPr>
        <w:footnoteRef/>
      </w:r>
      <w:r>
        <w:rPr>
          <w:lang w:val="el-GR"/>
        </w:rPr>
        <w:tab/>
        <w:t xml:space="preserve">Άρθρο 83 ν. 4412/2016. </w:t>
      </w:r>
    </w:p>
  </w:footnote>
  <w:footnote w:id="89">
    <w:p w14:paraId="6605389A" w14:textId="77777777" w:rsidR="0075659A" w:rsidRPr="00BD65F6" w:rsidRDefault="0075659A">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90">
    <w:p w14:paraId="715969D2" w14:textId="343C7321" w:rsidR="0075659A" w:rsidRPr="00BD65F6" w:rsidRDefault="0075659A">
      <w:pPr>
        <w:pStyle w:val="af5"/>
        <w:rPr>
          <w:lang w:val="el-GR"/>
        </w:rPr>
      </w:pPr>
      <w:r>
        <w:rPr>
          <w:rStyle w:val="a8"/>
        </w:rPr>
        <w:footnoteRef/>
      </w:r>
      <w:r>
        <w:rPr>
          <w:lang w:val="el-GR"/>
        </w:rPr>
        <w:tab/>
        <w:t xml:space="preserve">Τα κριτήρια ανάθεσης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91">
    <w:p w14:paraId="6E8131ED" w14:textId="0601B578" w:rsidR="0075659A" w:rsidRPr="00BD65F6" w:rsidRDefault="0075659A">
      <w:pPr>
        <w:pStyle w:val="af5"/>
        <w:rPr>
          <w:lang w:val="el-GR"/>
        </w:rPr>
      </w:pPr>
      <w:r>
        <w:rPr>
          <w:rStyle w:val="a8"/>
        </w:rPr>
        <w:footnoteRef/>
      </w:r>
      <w:r>
        <w:rPr>
          <w:lang w:val="el-GR"/>
        </w:rPr>
        <w:tab/>
      </w:r>
      <w:r w:rsidRPr="00FD3A4C">
        <w:rPr>
          <w:lang w:val="el-GR"/>
        </w:rPr>
        <w:t xml:space="preserve">Στην περίπτωση αυτή η πλέον συμφέρουσα από οικονομική άποψη προσφορά πρέπει να εκτιμάται βάσει της καλύτερης αναλογίας τιμής-ποιότητας, </w:t>
      </w:r>
      <w:r>
        <w:rPr>
          <w:lang w:val="el-GR"/>
        </w:rPr>
        <w:t xml:space="preserve">στο πλαίσιο της οποίας λαμβάνονται υπόψη </w:t>
      </w:r>
      <w:r w:rsidRPr="00FD3A4C">
        <w:rPr>
          <w:lang w:val="el-GR"/>
        </w:rPr>
        <w:t xml:space="preserve"> στοιχεία αποτελεσματικότητας σε σχέση με την τιμή </w:t>
      </w:r>
      <w:r w:rsidRPr="00FD3A4C">
        <w:rPr>
          <w:u w:val="single"/>
          <w:lang w:val="el-GR"/>
        </w:rPr>
        <w:t>ή το κόστος.</w:t>
      </w:r>
      <w:r w:rsidRPr="00FD3A4C">
        <w:rPr>
          <w:lang w:val="el-GR"/>
        </w:rPr>
        <w:t xml:space="preserve"> </w:t>
      </w:r>
      <w:proofErr w:type="spellStart"/>
      <w:r w:rsidRPr="00FD3A4C">
        <w:rPr>
          <w:lang w:val="el-GR"/>
        </w:rPr>
        <w:t>Πρβλ</w:t>
      </w:r>
      <w:proofErr w:type="spellEnd"/>
      <w:r w:rsidRPr="00FD3A4C">
        <w:rPr>
          <w:lang w:val="el-GR"/>
        </w:rPr>
        <w:t xml:space="preserve"> αιτιολογική έκθεση νόμου 4412/2016, άρθρο 86, σ. 23 και αιτιολογική σκέψη 92 Οδηγίας 2014/24/ΕΕ</w:t>
      </w:r>
    </w:p>
  </w:footnote>
  <w:footnote w:id="92">
    <w:p w14:paraId="64672D93" w14:textId="77777777" w:rsidR="0075659A" w:rsidRPr="00C7452D" w:rsidRDefault="0075659A" w:rsidP="00C7452D">
      <w:pPr>
        <w:pStyle w:val="af5"/>
        <w:rPr>
          <w:lang w:val="el-GR"/>
        </w:rPr>
      </w:pPr>
      <w:r w:rsidRPr="00C7452D">
        <w:rPr>
          <w:rStyle w:val="a8"/>
        </w:rPr>
        <w:footnoteRef/>
      </w:r>
      <w:r>
        <w:rPr>
          <w:lang w:val="el-GR"/>
        </w:rPr>
        <w:tab/>
        <w:t>Ά</w:t>
      </w:r>
      <w:r w:rsidRPr="002E6CB5">
        <w:rPr>
          <w:lang w:val="el-GR"/>
        </w:rPr>
        <w:t>ρθρο 86 παρ. 11, 13 και 16 ν. 4412/2016</w:t>
      </w:r>
    </w:p>
  </w:footnote>
  <w:footnote w:id="93">
    <w:p w14:paraId="67DC55E2" w14:textId="77777777" w:rsidR="0075659A" w:rsidRPr="00E51FC7" w:rsidRDefault="0075659A" w:rsidP="00A965A3">
      <w:pPr>
        <w:pStyle w:val="af5"/>
        <w:rPr>
          <w:lang w:val="el-GR"/>
        </w:rPr>
      </w:pPr>
      <w:r>
        <w:rPr>
          <w:rStyle w:val="ad"/>
        </w:rPr>
        <w:footnoteRef/>
      </w:r>
      <w:r w:rsidRPr="00E51FC7">
        <w:rPr>
          <w:lang w:val="el-GR"/>
        </w:rPr>
        <w:t xml:space="preserve"> </w:t>
      </w:r>
      <w:r>
        <w:rPr>
          <w:lang w:val="el-GR"/>
        </w:rPr>
        <w:tab/>
      </w:r>
      <w:proofErr w:type="spellStart"/>
      <w:r>
        <w:rPr>
          <w:lang w:val="el-GR"/>
        </w:rPr>
        <w:t>Πρβλ</w:t>
      </w:r>
      <w:proofErr w:type="spellEnd"/>
      <w:r>
        <w:rPr>
          <w:lang w:val="el-GR"/>
        </w:rPr>
        <w:t>. ΔΕΦ Αθηνών, ΙΓ Τμήμα (</w:t>
      </w:r>
      <w:proofErr w:type="spellStart"/>
      <w:r>
        <w:rPr>
          <w:lang w:val="el-GR"/>
        </w:rPr>
        <w:t>Ακυρ</w:t>
      </w:r>
      <w:proofErr w:type="spellEnd"/>
      <w:r>
        <w:rPr>
          <w:lang w:val="el-GR"/>
        </w:rPr>
        <w:t>.), 728/2023</w:t>
      </w:r>
    </w:p>
  </w:footnote>
  <w:footnote w:id="94">
    <w:p w14:paraId="6E98B9DD" w14:textId="77777777" w:rsidR="0075659A" w:rsidRPr="009C1E20" w:rsidRDefault="0075659A">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95">
    <w:p w14:paraId="741F41BA" w14:textId="77777777" w:rsidR="0075659A" w:rsidRPr="00BD65F6" w:rsidRDefault="0075659A">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96">
    <w:p w14:paraId="6E2972E1" w14:textId="77777777" w:rsidR="0075659A" w:rsidRPr="00FD3A4C" w:rsidRDefault="0075659A"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97">
    <w:p w14:paraId="47291ABF" w14:textId="2D68258A" w:rsidR="0075659A" w:rsidRPr="00FD3A4C" w:rsidRDefault="0075659A"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w:t>
      </w:r>
      <w:proofErr w:type="spellEnd"/>
      <w:r w:rsidRPr="00FD3A4C">
        <w:rPr>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w:t>
      </w:r>
      <w:r>
        <w:rPr>
          <w:lang w:val="el-GR"/>
        </w:rPr>
        <w:t>,</w:t>
      </w:r>
      <w:r w:rsidRPr="00FD3A4C">
        <w:rPr>
          <w:lang w:val="el-GR"/>
        </w:rPr>
        <w:t xml:space="preserve"> όσο και ως έντυπο έγγραφο, συνιστά έγγραφο βέβαιης χρονολογίας".</w:t>
      </w:r>
    </w:p>
  </w:footnote>
  <w:footnote w:id="98">
    <w:p w14:paraId="0EF3F8B7" w14:textId="77777777" w:rsidR="0075659A" w:rsidRPr="006A40FD" w:rsidRDefault="0075659A" w:rsidP="00455376">
      <w:pPr>
        <w:pStyle w:val="-HTML"/>
        <w:ind w:left="426" w:hanging="426"/>
        <w:rPr>
          <w:rFonts w:ascii="Calibri" w:hAnsi="Calibri" w:cs="Calibri"/>
          <w:sz w:val="18"/>
          <w:lang w:val="el-GR" w:eastAsia="ar-SA"/>
        </w:rPr>
      </w:pPr>
      <w:r w:rsidRPr="00AD164C">
        <w:rPr>
          <w:rFonts w:ascii="Calibri" w:hAnsi="Calibri" w:cs="Calibri"/>
          <w:sz w:val="18"/>
          <w:lang w:val="el-GR" w:eastAsia="ar-SA"/>
        </w:rPr>
        <w:footnoteRef/>
      </w:r>
      <w:r w:rsidRPr="00AD164C">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Βλ. σχετικά, τις  παραγράφους 1 και 3 του άρθρου: «1. […]Στις περιπτώσεις που ο νόμος απαιτεί βεβαίωση του γνησίου της </w:t>
      </w:r>
      <w:r>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AD164C">
          <w:rPr>
            <w:rFonts w:ascii="Calibri" w:hAnsi="Calibri" w:cs="Calibri"/>
            <w:sz w:val="18"/>
            <w:lang w:val="el-GR" w:eastAsia="ar-SA"/>
          </w:rPr>
          <w:t>4727/2020</w:t>
        </w:r>
      </w:hyperlink>
      <w:r w:rsidRPr="00AD164C">
        <w:rPr>
          <w:rFonts w:ascii="Calibri" w:hAnsi="Calibri" w:cs="Calibri"/>
          <w:sz w:val="18"/>
          <w:lang w:val="el-GR" w:eastAsia="ar-SA"/>
        </w:rPr>
        <w:t xml:space="preserve"> (</w:t>
      </w:r>
      <w:hyperlink w:history="1">
        <w:r w:rsidRPr="00AD164C">
          <w:rPr>
            <w:rFonts w:ascii="Calibri" w:hAnsi="Calibri" w:cs="Calibri"/>
            <w:sz w:val="18"/>
            <w:lang w:val="el-GR" w:eastAsia="ar-SA"/>
          </w:rPr>
          <w:t>Α` 184</w:t>
        </w:r>
      </w:hyperlink>
      <w:r w:rsidRPr="00AD164C">
        <w:rPr>
          <w:rFonts w:ascii="Calibri" w:hAnsi="Calibri" w:cs="Calibri"/>
          <w:sz w:val="18"/>
          <w:lang w:val="el-GR" w:eastAsia="ar-SA"/>
        </w:rPr>
        <w:t>).</w:t>
      </w:r>
    </w:p>
    <w:p w14:paraId="40994A77" w14:textId="77777777" w:rsidR="0075659A" w:rsidRPr="006A40FD" w:rsidRDefault="0075659A" w:rsidP="006A40FD">
      <w:pPr>
        <w:pStyle w:val="-HTML"/>
        <w:rPr>
          <w:rFonts w:ascii="Verdana" w:hAnsi="Verdana" w:cs="Courier New"/>
          <w:color w:val="000000"/>
          <w:sz w:val="18"/>
          <w:szCs w:val="18"/>
          <w:lang w:val="el-GR" w:eastAsia="el-GR"/>
        </w:rPr>
      </w:pPr>
    </w:p>
    <w:p w14:paraId="53CA83BB" w14:textId="77777777" w:rsidR="0075659A" w:rsidRPr="00AD164C" w:rsidRDefault="0075659A">
      <w:pPr>
        <w:pStyle w:val="af5"/>
        <w:rPr>
          <w:lang w:val="el-GR"/>
        </w:rPr>
      </w:pPr>
      <w:r>
        <w:rPr>
          <w:lang w:val="el-GR"/>
        </w:rPr>
        <w:t xml:space="preserve"> </w:t>
      </w:r>
    </w:p>
  </w:footnote>
  <w:footnote w:id="99">
    <w:p w14:paraId="1B2C883C" w14:textId="03B78381" w:rsidR="0075659A" w:rsidRPr="00FD3A4C" w:rsidRDefault="0075659A"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w:t>
      </w:r>
      <w:r>
        <w:rPr>
          <w:lang w:val="el-GR"/>
        </w:rPr>
        <w:t>,</w:t>
      </w:r>
      <w:r w:rsidRPr="00FD3A4C">
        <w:rPr>
          <w:lang w:val="el-GR"/>
        </w:rPr>
        <w:t xml:space="preserve">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100">
    <w:p w14:paraId="16731D79" w14:textId="1EA26AA8" w:rsidR="0075659A" w:rsidRPr="00FD3A4C" w:rsidRDefault="0075659A">
      <w:pPr>
        <w:pStyle w:val="af5"/>
        <w:rPr>
          <w:lang w:val="el-GR"/>
        </w:rPr>
      </w:pPr>
      <w:r w:rsidRPr="00FD3A4C">
        <w:rPr>
          <w:rStyle w:val="ad"/>
        </w:rPr>
        <w:footnoteRef/>
      </w:r>
      <w:r>
        <w:rPr>
          <w:rStyle w:val="a4"/>
          <w:vertAlign w:val="baseline"/>
          <w:lang w:val="el-GR"/>
        </w:rPr>
        <w:tab/>
      </w:r>
      <w:r w:rsidRPr="00FD3A4C">
        <w:rPr>
          <w:lang w:val="el-GR"/>
        </w:rPr>
        <w:t xml:space="preserve">Σύμφωνα με την </w:t>
      </w:r>
      <w:proofErr w:type="spellStart"/>
      <w:r w:rsidRPr="00FD3A4C">
        <w:rPr>
          <w:lang w:val="el-GR"/>
        </w:rPr>
        <w:t>περ</w:t>
      </w:r>
      <w:proofErr w:type="spellEnd"/>
      <w:r w:rsidRPr="00FD3A4C">
        <w:rPr>
          <w:lang w:val="el-GR"/>
        </w:rPr>
        <w:t xml:space="preserve">. </w:t>
      </w:r>
      <w:proofErr w:type="spellStart"/>
      <w:r w:rsidRPr="00FD3A4C">
        <w:rPr>
          <w:lang w:val="el-GR"/>
        </w:rPr>
        <w:t>ε</w:t>
      </w:r>
      <w:r>
        <w:rPr>
          <w:lang w:val="el-GR"/>
        </w:rPr>
        <w:t>΄</w:t>
      </w:r>
      <w:proofErr w:type="spellEnd"/>
      <w:r w:rsidRPr="00FD3A4C">
        <w:rPr>
          <w:lang w:val="el-GR"/>
        </w:rPr>
        <w:t xml:space="preserve">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101">
    <w:p w14:paraId="593E5CDC" w14:textId="77777777" w:rsidR="0075659A" w:rsidRPr="00BD65F6" w:rsidRDefault="0075659A">
      <w:pPr>
        <w:pStyle w:val="af5"/>
        <w:rPr>
          <w:lang w:val="el-GR"/>
        </w:rPr>
      </w:pPr>
      <w:r w:rsidRPr="00FD3A4C">
        <w:rPr>
          <w:rStyle w:val="ad"/>
        </w:rPr>
        <w:footnoteRef/>
      </w:r>
      <w:r>
        <w:rPr>
          <w:rStyle w:val="a4"/>
          <w:vertAlign w:val="baseline"/>
          <w:lang w:val="el-GR"/>
        </w:rPr>
        <w:tab/>
      </w:r>
      <w:r w:rsidRPr="00FD3A4C">
        <w:rPr>
          <w:lang w:val="el-GR"/>
        </w:rPr>
        <w:t>Άρθρο 13 παρ. 1.3.2 της ΚΥΑ ΕΣΗΔΗΣ Προμήθειες και Υπηρεσίες</w:t>
      </w:r>
    </w:p>
  </w:footnote>
  <w:footnote w:id="102">
    <w:p w14:paraId="487D3CB6" w14:textId="77777777" w:rsidR="0075659A" w:rsidRPr="0035532D" w:rsidRDefault="0075659A"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103">
    <w:p w14:paraId="078EF553" w14:textId="77777777" w:rsidR="0075659A" w:rsidRPr="00F93782" w:rsidRDefault="0075659A"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104">
    <w:p w14:paraId="12663783" w14:textId="77777777" w:rsidR="0075659A" w:rsidRPr="00BD65F6" w:rsidRDefault="0075659A">
      <w:pPr>
        <w:pStyle w:val="af5"/>
        <w:rPr>
          <w:lang w:val="el-GR"/>
        </w:rPr>
      </w:pPr>
      <w:r>
        <w:rPr>
          <w:rStyle w:val="a8"/>
        </w:rPr>
        <w:footnoteRef/>
      </w:r>
      <w:r>
        <w:rPr>
          <w:lang w:val="el-GR"/>
        </w:rPr>
        <w:tab/>
        <w:t>Βλ. άρθρο 93  του ν. 4412/2016</w:t>
      </w:r>
    </w:p>
  </w:footnote>
  <w:footnote w:id="105">
    <w:p w14:paraId="766C6591" w14:textId="77777777" w:rsidR="0075659A" w:rsidRPr="00BD65F6" w:rsidRDefault="0075659A">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106">
    <w:p w14:paraId="378168BB" w14:textId="77777777" w:rsidR="0075659A" w:rsidRPr="00BD65F6" w:rsidRDefault="0075659A">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07">
    <w:p w14:paraId="7A9BADEA" w14:textId="77777777" w:rsidR="0075659A" w:rsidRPr="00BD65F6" w:rsidRDefault="0075659A">
      <w:pPr>
        <w:pStyle w:val="af5"/>
        <w:rPr>
          <w:lang w:val="el-GR"/>
        </w:rPr>
      </w:pPr>
      <w:r>
        <w:rPr>
          <w:rStyle w:val="a8"/>
        </w:rPr>
        <w:footnoteRef/>
      </w:r>
      <w:r>
        <w:rPr>
          <w:lang w:val="el-GR"/>
        </w:rPr>
        <w:tab/>
        <w:t>Άρθρο 58 του ν. 4412/2016.</w:t>
      </w:r>
    </w:p>
  </w:footnote>
  <w:footnote w:id="108">
    <w:p w14:paraId="416BDDFF" w14:textId="77777777" w:rsidR="0075659A" w:rsidRPr="00FC2FD7" w:rsidRDefault="0075659A">
      <w:pPr>
        <w:pStyle w:val="af5"/>
        <w:rPr>
          <w:lang w:val="el-GR"/>
        </w:rPr>
      </w:pPr>
      <w:r>
        <w:rPr>
          <w:rStyle w:val="ad"/>
        </w:rPr>
        <w:footnoteRef/>
      </w:r>
      <w:r>
        <w:rPr>
          <w:rStyle w:val="a4"/>
          <w:vertAlign w:val="baseline"/>
          <w:lang w:val="el-GR"/>
        </w:rPr>
        <w:tab/>
      </w:r>
      <w:r>
        <w:rPr>
          <w:lang w:val="el-GR"/>
        </w:rPr>
        <w:t>Άρθρο 95 του ν. 4412/2016</w:t>
      </w:r>
    </w:p>
  </w:footnote>
  <w:footnote w:id="109">
    <w:p w14:paraId="6230605E" w14:textId="79C7EEB5" w:rsidR="0075659A" w:rsidRPr="00BD65F6" w:rsidRDefault="0075659A">
      <w:pPr>
        <w:pStyle w:val="af5"/>
        <w:rPr>
          <w:lang w:val="el-GR"/>
        </w:rPr>
      </w:pPr>
      <w:r>
        <w:rPr>
          <w:rStyle w:val="a8"/>
        </w:rPr>
        <w:footnoteRef/>
      </w:r>
      <w:r>
        <w:rPr>
          <w:szCs w:val="18"/>
          <w:lang w:val="el-GR"/>
        </w:rPr>
        <w:tab/>
        <w:t>Εδώ  πρέπει να καθορίζεται με σαφήνεια η σχετική μονάδα π.χ.  λίτρα κ.α.</w:t>
      </w:r>
    </w:p>
  </w:footnote>
  <w:footnote w:id="110">
    <w:p w14:paraId="74EDE317" w14:textId="77777777" w:rsidR="0075659A" w:rsidRPr="00BD65F6" w:rsidRDefault="0075659A">
      <w:pPr>
        <w:pStyle w:val="af5"/>
        <w:rPr>
          <w:lang w:val="el-GR"/>
        </w:rPr>
      </w:pPr>
      <w:r>
        <w:rPr>
          <w:rStyle w:val="a8"/>
          <w:rFonts w:ascii="Arial" w:hAnsi="Arial"/>
        </w:rPr>
        <w:footnoteRef/>
      </w:r>
      <w:r>
        <w:rPr>
          <w:lang w:val="el-GR"/>
        </w:rPr>
        <w:tab/>
        <w:t>Άρθρο 97 ν. 4412/2016</w:t>
      </w:r>
    </w:p>
  </w:footnote>
  <w:footnote w:id="111">
    <w:p w14:paraId="652DED9A" w14:textId="77777777" w:rsidR="0075659A" w:rsidRPr="00BD65F6" w:rsidRDefault="0075659A">
      <w:pPr>
        <w:pStyle w:val="af5"/>
        <w:rPr>
          <w:lang w:val="el-GR"/>
        </w:rPr>
      </w:pPr>
      <w:r>
        <w:rPr>
          <w:rStyle w:val="a8"/>
          <w:rFonts w:ascii="Arial" w:hAnsi="Arial"/>
        </w:rPr>
        <w:footnoteRef/>
      </w:r>
      <w:r>
        <w:rPr>
          <w:lang w:val="el-GR"/>
        </w:rPr>
        <w:tab/>
        <w:t>Άρθρο 91 του ν. 4412/2016</w:t>
      </w:r>
    </w:p>
  </w:footnote>
  <w:footnote w:id="112">
    <w:p w14:paraId="2E011DB7" w14:textId="77777777" w:rsidR="0075659A" w:rsidRPr="00BD65F6" w:rsidRDefault="0075659A">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113">
    <w:p w14:paraId="7BDDB71D" w14:textId="77777777" w:rsidR="0075659A" w:rsidRPr="00BD65F6" w:rsidRDefault="0075659A">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114">
    <w:p w14:paraId="03C6D83D" w14:textId="77777777" w:rsidR="0075659A" w:rsidRPr="009F4790" w:rsidRDefault="0075659A"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15">
    <w:p w14:paraId="7E6243A5" w14:textId="77777777" w:rsidR="0075659A" w:rsidRPr="008606B8" w:rsidRDefault="0075659A">
      <w:pPr>
        <w:pStyle w:val="af5"/>
        <w:rPr>
          <w:lang w:val="el-GR"/>
        </w:rPr>
      </w:pPr>
      <w:r>
        <w:rPr>
          <w:rStyle w:val="ad"/>
        </w:rPr>
        <w:footnoteRef/>
      </w:r>
      <w:r>
        <w:rPr>
          <w:rStyle w:val="a4"/>
          <w:vertAlign w:val="baseline"/>
          <w:lang w:val="el-GR"/>
        </w:rPr>
        <w:tab/>
      </w:r>
      <w:r>
        <w:rPr>
          <w:lang w:val="el-GR"/>
        </w:rPr>
        <w:t xml:space="preserve">Άρθρο 16 παρ. 1 και 2 Κ.Υ.Α. ΕΣΗΔΗΣ </w:t>
      </w:r>
      <w:r w:rsidRPr="008606B8">
        <w:rPr>
          <w:lang w:val="el-GR"/>
        </w:rPr>
        <w:t>Προμήθειες και Υπηρεσίες</w:t>
      </w:r>
    </w:p>
  </w:footnote>
  <w:footnote w:id="116">
    <w:p w14:paraId="1ACA0695" w14:textId="77777777" w:rsidR="0075659A" w:rsidRPr="00BF6D04" w:rsidRDefault="0075659A" w:rsidP="00963011">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17">
    <w:p w14:paraId="536B3C7F" w14:textId="78DB4C0A" w:rsidR="0075659A" w:rsidRPr="00BD65F6" w:rsidRDefault="0075659A"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w:t>
      </w:r>
      <w:r>
        <w:rPr>
          <w:rFonts w:cs="Times New Roman"/>
          <w:lang w:val="el-GR" w:eastAsia="zh-CN"/>
        </w:rPr>
        <w:t xml:space="preserve"> του</w:t>
      </w:r>
      <w:r w:rsidRPr="00A01F40">
        <w:rPr>
          <w:rFonts w:cs="Times New Roman"/>
          <w:lang w:val="el-GR" w:eastAsia="zh-CN"/>
        </w:rPr>
        <w:t xml:space="preserve"> ν. 4781/2021</w:t>
      </w:r>
      <w:r>
        <w:rPr>
          <w:rFonts w:cs="Times New Roman"/>
          <w:lang w:val="el-GR" w:eastAsia="zh-CN"/>
        </w:rPr>
        <w:t xml:space="preserve"> </w:t>
      </w:r>
    </w:p>
  </w:footnote>
  <w:footnote w:id="118">
    <w:p w14:paraId="4127899D" w14:textId="6F8E9056" w:rsidR="0075659A" w:rsidRPr="000A6F04" w:rsidRDefault="0075659A">
      <w:pPr>
        <w:pStyle w:val="af5"/>
        <w:rPr>
          <w:lang w:val="el-GR"/>
        </w:rPr>
      </w:pPr>
      <w:r>
        <w:rPr>
          <w:rStyle w:val="ad"/>
        </w:rPr>
        <w:footnoteRef/>
      </w:r>
      <w:r w:rsidRPr="000A6F04">
        <w:rPr>
          <w:lang w:val="el-GR"/>
        </w:rPr>
        <w:t xml:space="preserve"> </w:t>
      </w:r>
      <w:r>
        <w:rPr>
          <w:lang w:val="el-GR"/>
        </w:rPr>
        <w:t xml:space="preserve"> </w:t>
      </w:r>
      <w:r w:rsidRPr="008F57DA">
        <w:rPr>
          <w:lang w:val="el-GR"/>
        </w:rPr>
        <w:t xml:space="preserve">    </w:t>
      </w:r>
      <w:proofErr w:type="spellStart"/>
      <w:r w:rsidRPr="008F57DA">
        <w:rPr>
          <w:lang w:val="el-GR"/>
        </w:rPr>
        <w:t>Πρβλ</w:t>
      </w:r>
      <w:proofErr w:type="spellEnd"/>
      <w:r w:rsidRPr="008F57DA">
        <w:rPr>
          <w:lang w:val="el-GR"/>
        </w:rPr>
        <w:t>. άρθρα 100 ν. 4412/2016, σε συνδυασμό με άρθρο 16 παρ. 3.2 της «ΚΥΑ ΕΣΗΔΗΣ Προμήθειες και Υπηρεσίες</w:t>
      </w:r>
    </w:p>
  </w:footnote>
  <w:footnote w:id="119">
    <w:p w14:paraId="79320518" w14:textId="77777777" w:rsidR="0075659A" w:rsidRPr="001036EA" w:rsidRDefault="0075659A" w:rsidP="00D85700">
      <w:pPr>
        <w:pStyle w:val="af5"/>
        <w:rPr>
          <w:lang w:val="el-GR"/>
        </w:rPr>
      </w:pPr>
      <w:r>
        <w:rPr>
          <w:rStyle w:val="a8"/>
        </w:rPr>
        <w:footnoteRef/>
      </w:r>
      <w:r>
        <w:rPr>
          <w:lang w:val="el-GR"/>
        </w:rPr>
        <w:tab/>
        <w:t>Άρθρο 90 παρ. 2 και 4 του ν. 4412/2016.</w:t>
      </w:r>
    </w:p>
  </w:footnote>
  <w:footnote w:id="120">
    <w:p w14:paraId="0EFA64FB" w14:textId="16082943" w:rsidR="0075659A" w:rsidRPr="007D4F03" w:rsidRDefault="0075659A">
      <w:pPr>
        <w:pStyle w:val="af5"/>
        <w:rPr>
          <w:lang w:val="el-GR"/>
        </w:rPr>
      </w:pPr>
      <w:r>
        <w:rPr>
          <w:rStyle w:val="ad"/>
        </w:rPr>
        <w:footnoteRef/>
      </w:r>
      <w:r w:rsidRPr="007D4F03">
        <w:rPr>
          <w:lang w:val="el-GR"/>
        </w:rPr>
        <w:t xml:space="preserve"> </w:t>
      </w:r>
      <w:r>
        <w:rPr>
          <w:rStyle w:val="a4"/>
          <w:vertAlign w:val="baseline"/>
          <w:lang w:val="el-GR"/>
        </w:rPr>
        <w:tab/>
      </w:r>
      <w:r>
        <w:rPr>
          <w:lang w:val="el-GR"/>
        </w:rPr>
        <w:t>Άρθρο 100 παρ. 5 του ν. 4412/2016</w:t>
      </w:r>
    </w:p>
  </w:footnote>
  <w:footnote w:id="121">
    <w:p w14:paraId="3700B3F2" w14:textId="3DAB3994" w:rsidR="0075659A" w:rsidRPr="007D4F03" w:rsidRDefault="0075659A">
      <w:pPr>
        <w:pStyle w:val="af5"/>
        <w:rPr>
          <w:lang w:val="el-GR"/>
        </w:rPr>
      </w:pPr>
      <w:r>
        <w:rPr>
          <w:rStyle w:val="ad"/>
        </w:rPr>
        <w:footnoteRef/>
      </w:r>
      <w:r>
        <w:rPr>
          <w:rStyle w:val="a4"/>
          <w:vertAlign w:val="baseline"/>
          <w:lang w:val="el-GR"/>
        </w:rPr>
        <w:tab/>
      </w:r>
      <w:r w:rsidRPr="00FF640E">
        <w:rPr>
          <w:lang w:val="el-GR"/>
        </w:rPr>
        <w:t>Άρθρο 100 παρ. 6 του ν. 4412/2016</w:t>
      </w:r>
      <w:r>
        <w:rPr>
          <w:lang w:val="el-GR"/>
        </w:rPr>
        <w:t xml:space="preserve"> </w:t>
      </w:r>
    </w:p>
  </w:footnote>
  <w:footnote w:id="122">
    <w:p w14:paraId="31041EAF" w14:textId="77777777" w:rsidR="0075659A" w:rsidRPr="00BD65F6" w:rsidRDefault="0075659A">
      <w:pPr>
        <w:pStyle w:val="af5"/>
        <w:rPr>
          <w:lang w:val="el-GR"/>
        </w:rPr>
      </w:pPr>
      <w:r w:rsidRPr="00AE4565">
        <w:rPr>
          <w:rStyle w:val="ad"/>
        </w:rPr>
        <w:footnoteRef/>
      </w:r>
      <w:r>
        <w:rPr>
          <w:lang w:val="el-GR"/>
        </w:rPr>
        <w:tab/>
        <w:t xml:space="preserve">Άρθρο 103 του ν. 4412/2016 </w:t>
      </w:r>
    </w:p>
  </w:footnote>
  <w:footnote w:id="123">
    <w:p w14:paraId="0619FC44" w14:textId="5E83BC4D" w:rsidR="0075659A" w:rsidRPr="00BF6D04" w:rsidRDefault="0075659A">
      <w:pPr>
        <w:pStyle w:val="af5"/>
        <w:rPr>
          <w:lang w:val="el-GR"/>
        </w:rPr>
      </w:pPr>
      <w:r>
        <w:rPr>
          <w:rStyle w:val="ad"/>
        </w:rPr>
        <w:footnoteRef/>
      </w:r>
      <w:r>
        <w:rPr>
          <w:lang w:val="el-GR"/>
        </w:rPr>
        <w:tab/>
      </w:r>
      <w:proofErr w:type="spellStart"/>
      <w:r w:rsidRPr="00570C40">
        <w:rPr>
          <w:lang w:val="el-GR"/>
        </w:rPr>
        <w:t>Πρβλ</w:t>
      </w:r>
      <w:proofErr w:type="spellEnd"/>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124">
    <w:p w14:paraId="2DEF6444" w14:textId="77777777" w:rsidR="0075659A" w:rsidRPr="001036EA" w:rsidRDefault="0075659A" w:rsidP="001B44A3">
      <w:pPr>
        <w:pStyle w:val="af5"/>
        <w:rPr>
          <w:lang w:val="el-GR"/>
        </w:rPr>
      </w:pPr>
      <w:r>
        <w:rPr>
          <w:rStyle w:val="a8"/>
        </w:rPr>
        <w:footnoteRef/>
      </w:r>
      <w:r>
        <w:rPr>
          <w:lang w:val="el-GR"/>
        </w:rPr>
        <w:tab/>
        <w:t>Άρθρο 104 παρ. 2 και 3 του ν. 4412/2016</w:t>
      </w:r>
    </w:p>
  </w:footnote>
  <w:footnote w:id="125">
    <w:p w14:paraId="5D028C42" w14:textId="77777777" w:rsidR="0075659A" w:rsidRPr="005C4697" w:rsidRDefault="0075659A">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26">
    <w:p w14:paraId="315D042E" w14:textId="6FEAB467" w:rsidR="0075659A" w:rsidRPr="007D4F03" w:rsidRDefault="0075659A">
      <w:pPr>
        <w:pStyle w:val="af5"/>
        <w:rPr>
          <w:lang w:val="el-GR"/>
        </w:rPr>
      </w:pPr>
      <w:r>
        <w:rPr>
          <w:rStyle w:val="ad"/>
        </w:rPr>
        <w:footnoteRef/>
      </w:r>
      <w:r>
        <w:rPr>
          <w:rStyle w:val="a4"/>
          <w:vertAlign w:val="baseline"/>
          <w:lang w:val="el-GR"/>
        </w:rPr>
        <w:tab/>
      </w:r>
      <w:proofErr w:type="spellStart"/>
      <w:r>
        <w:rPr>
          <w:lang w:val="el-GR"/>
        </w:rPr>
        <w:t>Πρβλ</w:t>
      </w:r>
      <w:proofErr w:type="spellEnd"/>
      <w:r>
        <w:rPr>
          <w:lang w:val="el-GR"/>
        </w:rPr>
        <w:t>. άρθρο 16 παρ. 3 της  ΚΥΑ ΕΣΗΔΗΣ Προμήθειες και Υπηρεσίες</w:t>
      </w:r>
    </w:p>
  </w:footnote>
  <w:footnote w:id="127">
    <w:p w14:paraId="58762C68" w14:textId="77777777" w:rsidR="0075659A" w:rsidRPr="00BD65F6" w:rsidRDefault="0075659A" w:rsidP="006A42C7">
      <w:pPr>
        <w:pStyle w:val="af5"/>
        <w:rPr>
          <w:lang w:val="el-GR"/>
        </w:rPr>
      </w:pPr>
      <w:r>
        <w:rPr>
          <w:rStyle w:val="a8"/>
          <w:rFonts w:eastAsia="OpenSymbol"/>
        </w:rPr>
        <w:footnoteRef/>
      </w:r>
      <w:r>
        <w:rPr>
          <w:lang w:val="el-GR"/>
        </w:rPr>
        <w:tab/>
        <w:t>Άρθρο 100 παρ. 5 του ν. 4412/2016</w:t>
      </w:r>
    </w:p>
  </w:footnote>
  <w:footnote w:id="128">
    <w:p w14:paraId="33996B8C" w14:textId="39CCF34A" w:rsidR="0075659A" w:rsidRPr="002913F6" w:rsidRDefault="0075659A" w:rsidP="00020B6A">
      <w:pPr>
        <w:pStyle w:val="af5"/>
        <w:rPr>
          <w:lang w:val="el-GR"/>
        </w:rPr>
      </w:pPr>
      <w:r>
        <w:rPr>
          <w:rStyle w:val="ad"/>
        </w:rPr>
        <w:footnoteRef/>
      </w:r>
      <w:r>
        <w:rPr>
          <w:rStyle w:val="a4"/>
          <w:vertAlign w:val="baseline"/>
          <w:lang w:val="el-GR"/>
        </w:rPr>
        <w:tab/>
      </w:r>
      <w:r>
        <w:rPr>
          <w:lang w:val="el-GR"/>
        </w:rPr>
        <w:t>Ά</w:t>
      </w:r>
      <w:r w:rsidRPr="002913F6">
        <w:rPr>
          <w:lang w:val="el-GR"/>
        </w:rPr>
        <w:t>ρθρο 360 παρ. 1</w:t>
      </w:r>
      <w:r>
        <w:rPr>
          <w:lang w:val="el-GR"/>
        </w:rPr>
        <w:t xml:space="preserve"> του </w:t>
      </w:r>
      <w:r w:rsidRPr="002913F6">
        <w:rPr>
          <w:lang w:val="el-GR"/>
        </w:rPr>
        <w:t xml:space="preserve">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proofErr w:type="spellEnd"/>
      <w:r w:rsidRPr="002913F6">
        <w:rPr>
          <w:lang w:val="el-GR"/>
        </w:rPr>
        <w:t>. 39/2017.</w:t>
      </w:r>
    </w:p>
  </w:footnote>
  <w:footnote w:id="129">
    <w:p w14:paraId="1FBFAFBB" w14:textId="33670622" w:rsidR="0075659A" w:rsidRPr="00D52587" w:rsidRDefault="0075659A">
      <w:pPr>
        <w:pStyle w:val="af5"/>
        <w:rPr>
          <w:lang w:val="el-GR"/>
        </w:rPr>
      </w:pPr>
      <w:r>
        <w:rPr>
          <w:rStyle w:val="ad"/>
        </w:rPr>
        <w:footnoteRef/>
      </w:r>
      <w:r>
        <w:rPr>
          <w:rStyle w:val="a4"/>
          <w:vertAlign w:val="baseline"/>
          <w:lang w:val="el-GR"/>
        </w:rPr>
        <w:tab/>
      </w:r>
      <w:r>
        <w:rPr>
          <w:lang w:val="el-GR"/>
        </w:rPr>
        <w:t>Ά</w:t>
      </w:r>
      <w:r w:rsidRPr="00D52587">
        <w:rPr>
          <w:lang w:val="el-GR"/>
        </w:rPr>
        <w:t>ρθρο 361 του ν. 4412/2016 και 4</w:t>
      </w:r>
      <w:r>
        <w:rPr>
          <w:lang w:val="el-GR"/>
        </w:rPr>
        <w:t xml:space="preserve"> του </w:t>
      </w:r>
      <w:r w:rsidRPr="00D52587">
        <w:rPr>
          <w:lang w:val="el-GR"/>
        </w:rPr>
        <w:t xml:space="preserve"> </w:t>
      </w:r>
      <w:proofErr w:type="spellStart"/>
      <w:r>
        <w:rPr>
          <w:lang w:val="el-GR"/>
        </w:rPr>
        <w:t>π</w:t>
      </w:r>
      <w:r w:rsidRPr="00D52587">
        <w:rPr>
          <w:lang w:val="el-GR"/>
        </w:rPr>
        <w:t>.</w:t>
      </w:r>
      <w:r>
        <w:rPr>
          <w:lang w:val="el-GR"/>
        </w:rPr>
        <w:t>δ</w:t>
      </w:r>
      <w:proofErr w:type="spellEnd"/>
      <w:r w:rsidRPr="00D52587">
        <w:rPr>
          <w:lang w:val="el-GR"/>
        </w:rPr>
        <w:t>. 39/2017</w:t>
      </w:r>
    </w:p>
  </w:footnote>
  <w:footnote w:id="130">
    <w:p w14:paraId="17C5528E" w14:textId="77777777" w:rsidR="0075659A" w:rsidRPr="00827575" w:rsidRDefault="0075659A"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31">
    <w:p w14:paraId="07FCDF37" w14:textId="2722701F" w:rsidR="0075659A" w:rsidRPr="007C4E1D" w:rsidRDefault="0075659A" w:rsidP="007C4E1D">
      <w:pPr>
        <w:pStyle w:val="af6"/>
        <w:ind w:left="227" w:hanging="227"/>
        <w:rPr>
          <w:sz w:val="18"/>
          <w:lang w:val="el-GR"/>
        </w:rPr>
      </w:pPr>
      <w:r>
        <w:rPr>
          <w:rStyle w:val="ad"/>
        </w:rPr>
        <w:footnoteRef/>
      </w:r>
      <w:r w:rsidRPr="007C4E1D">
        <w:rPr>
          <w:lang w:val="el-GR"/>
        </w:rPr>
        <w:t xml:space="preserve"> </w:t>
      </w:r>
      <w:proofErr w:type="spellStart"/>
      <w:r w:rsidRPr="007C4E1D">
        <w:rPr>
          <w:sz w:val="18"/>
          <w:lang w:val="el-GR"/>
        </w:rPr>
        <w:t>Πρβλ</w:t>
      </w:r>
      <w:proofErr w:type="spellEnd"/>
      <w:r w:rsidRPr="007C4E1D">
        <w:rPr>
          <w:sz w:val="18"/>
          <w:lang w:val="el-GR"/>
        </w:rPr>
        <w:t>. άρθρο 372 παρ. 3</w:t>
      </w:r>
      <w:r>
        <w:rPr>
          <w:sz w:val="18"/>
          <w:lang w:val="el-GR"/>
        </w:rPr>
        <w:t xml:space="preserve"> του </w:t>
      </w:r>
      <w:r w:rsidRPr="007C4E1D">
        <w:rPr>
          <w:sz w:val="18"/>
          <w:lang w:val="el-GR"/>
        </w:rPr>
        <w:t xml:space="preserve">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w:t>
      </w:r>
      <w:proofErr w:type="spellStart"/>
      <w:r w:rsidRPr="007C4E1D">
        <w:rPr>
          <w:sz w:val="18"/>
          <w:lang w:val="el-GR"/>
        </w:rPr>
        <w:t>α.α</w:t>
      </w:r>
      <w:proofErr w:type="spellEnd"/>
      <w:r w:rsidRPr="007C4E1D">
        <w:rPr>
          <w:sz w:val="18"/>
          <w:lang w:val="el-GR"/>
        </w:rPr>
        <w:t>.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0B0BFB5A" w14:textId="77777777" w:rsidR="0075659A" w:rsidRPr="007C4E1D" w:rsidRDefault="0075659A">
      <w:pPr>
        <w:pStyle w:val="af5"/>
        <w:rPr>
          <w:lang w:val="el-GR"/>
        </w:rPr>
      </w:pPr>
    </w:p>
  </w:footnote>
  <w:footnote w:id="132">
    <w:p w14:paraId="65B67247" w14:textId="141CC016" w:rsidR="0075659A" w:rsidRPr="007C4E1D" w:rsidRDefault="0075659A">
      <w:pPr>
        <w:pStyle w:val="af5"/>
        <w:rPr>
          <w:lang w:val="el-GR"/>
        </w:rPr>
      </w:pPr>
      <w:r>
        <w:rPr>
          <w:rStyle w:val="ad"/>
        </w:rPr>
        <w:footnoteRef/>
      </w:r>
      <w:r w:rsidRPr="007C4E1D">
        <w:rPr>
          <w:lang w:val="el-GR"/>
        </w:rPr>
        <w:t xml:space="preserve"> </w:t>
      </w:r>
      <w:proofErr w:type="spellStart"/>
      <w:r w:rsidRPr="007C4E1D">
        <w:rPr>
          <w:lang w:val="el-GR"/>
        </w:rPr>
        <w:t>Πρβλ</w:t>
      </w:r>
      <w:proofErr w:type="spellEnd"/>
      <w:r w:rsidRPr="007C4E1D">
        <w:rPr>
          <w:lang w:val="el-GR"/>
        </w:rPr>
        <w:t xml:space="preserve">. άρθρο 372 παρ. 1 και 2 </w:t>
      </w:r>
      <w:r>
        <w:rPr>
          <w:lang w:val="el-GR"/>
        </w:rPr>
        <w:t>του ν</w:t>
      </w:r>
      <w:r w:rsidRPr="007C4E1D">
        <w:rPr>
          <w:lang w:val="el-GR"/>
        </w:rPr>
        <w:t>. 4412/2016</w:t>
      </w:r>
      <w:r>
        <w:rPr>
          <w:lang w:val="el-GR"/>
        </w:rPr>
        <w:t>.</w:t>
      </w:r>
    </w:p>
  </w:footnote>
  <w:footnote w:id="133">
    <w:p w14:paraId="234AEBAE" w14:textId="77777777" w:rsidR="0075659A" w:rsidRPr="00F40EF3" w:rsidRDefault="0075659A">
      <w:pPr>
        <w:pStyle w:val="af5"/>
        <w:rPr>
          <w:lang w:val="el-GR"/>
        </w:rPr>
      </w:pPr>
      <w:r>
        <w:rPr>
          <w:rStyle w:val="ad"/>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134">
    <w:p w14:paraId="0C403C8B" w14:textId="77777777" w:rsidR="0075659A" w:rsidRPr="00F40EF3" w:rsidRDefault="0075659A">
      <w:pPr>
        <w:pStyle w:val="af5"/>
        <w:rPr>
          <w:lang w:val="el-GR"/>
        </w:rPr>
      </w:pPr>
      <w:r>
        <w:rPr>
          <w:rStyle w:val="ad"/>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135">
    <w:p w14:paraId="61AECEA9" w14:textId="11B48A7A" w:rsidR="0075659A" w:rsidRPr="00037801" w:rsidRDefault="0075659A">
      <w:pPr>
        <w:pStyle w:val="af5"/>
        <w:rPr>
          <w:lang w:val="el-GR"/>
        </w:rPr>
      </w:pPr>
      <w:r>
        <w:rPr>
          <w:rStyle w:val="ad"/>
        </w:rPr>
        <w:footnoteRef/>
      </w:r>
      <w:r w:rsidRPr="00037801">
        <w:rPr>
          <w:lang w:val="el-GR"/>
        </w:rPr>
        <w:t xml:space="preserve"> </w:t>
      </w:r>
      <w:proofErr w:type="spellStart"/>
      <w:r>
        <w:rPr>
          <w:lang w:val="el-GR"/>
        </w:rPr>
        <w:t>Πρβλ</w:t>
      </w:r>
      <w:proofErr w:type="spellEnd"/>
      <w:r>
        <w:rPr>
          <w:lang w:val="el-GR"/>
        </w:rPr>
        <w:t>. άρθρο 60 παρ. 2 ν. 5043/2023 (Α΄ 91/13-04-2023)</w:t>
      </w:r>
    </w:p>
  </w:footnote>
  <w:footnote w:id="136">
    <w:p w14:paraId="40393CB7" w14:textId="2DFFBE55" w:rsidR="0075659A" w:rsidRPr="00C7510D" w:rsidRDefault="0075659A">
      <w:pPr>
        <w:pStyle w:val="af5"/>
        <w:rPr>
          <w:lang w:val="el-GR"/>
        </w:rPr>
      </w:pPr>
      <w:r>
        <w:rPr>
          <w:rStyle w:val="a8"/>
        </w:rPr>
        <w:footnoteRef/>
      </w:r>
      <w:r>
        <w:rPr>
          <w:lang w:val="el-GR"/>
        </w:rPr>
        <w:tab/>
      </w:r>
      <w:r w:rsidRPr="003D0EC7">
        <w:rPr>
          <w:lang w:val="el-GR"/>
        </w:rPr>
        <w:t>Άρθρο 130</w:t>
      </w:r>
      <w:r>
        <w:rPr>
          <w:lang w:val="el-GR"/>
        </w:rPr>
        <w:t xml:space="preserve"> του </w:t>
      </w:r>
      <w:r w:rsidRPr="003D0EC7">
        <w:rPr>
          <w:lang w:val="el-GR"/>
        </w:rPr>
        <w:t xml:space="preserve"> ν.4412/2016</w:t>
      </w:r>
    </w:p>
  </w:footnote>
  <w:footnote w:id="137">
    <w:p w14:paraId="6EDB05E1" w14:textId="7EEBDFF8" w:rsidR="0075659A" w:rsidRPr="00171EB5" w:rsidRDefault="0075659A">
      <w:pPr>
        <w:pStyle w:val="af5"/>
        <w:rPr>
          <w:lang w:val="el-GR"/>
        </w:rPr>
      </w:pPr>
      <w:r>
        <w:rPr>
          <w:rStyle w:val="ad"/>
        </w:rPr>
        <w:footnoteRef/>
      </w:r>
      <w:r w:rsidRPr="00F8081A">
        <w:rPr>
          <w:lang w:val="el-GR"/>
        </w:rPr>
        <w:t xml:space="preserve"> </w:t>
      </w:r>
      <w:r>
        <w:rPr>
          <w:lang w:val="el-GR"/>
        </w:rPr>
        <w:t xml:space="preserve">     </w:t>
      </w:r>
      <w:proofErr w:type="spellStart"/>
      <w:r>
        <w:rPr>
          <w:lang w:val="el-GR"/>
        </w:rPr>
        <w:t>Πρβλ</w:t>
      </w:r>
      <w:proofErr w:type="spellEnd"/>
      <w:r>
        <w:rPr>
          <w:lang w:val="el-GR"/>
        </w:rPr>
        <w:t>. άρθρο 24 του ν. 4412/2016</w:t>
      </w:r>
    </w:p>
  </w:footnote>
  <w:footnote w:id="138">
    <w:p w14:paraId="5FE1CF68" w14:textId="01B388E7" w:rsidR="0075659A" w:rsidRPr="00BD65F6" w:rsidRDefault="0075659A">
      <w:pPr>
        <w:pStyle w:val="af5"/>
        <w:rPr>
          <w:lang w:val="el-GR"/>
        </w:rPr>
      </w:pPr>
      <w:r>
        <w:rPr>
          <w:rStyle w:val="a8"/>
        </w:rPr>
        <w:footnoteRef/>
      </w:r>
      <w:r>
        <w:rPr>
          <w:lang w:val="el-GR"/>
        </w:rPr>
        <w:tab/>
      </w:r>
      <w:proofErr w:type="spellStart"/>
      <w:r>
        <w:rPr>
          <w:lang w:val="el-GR"/>
        </w:rPr>
        <w:t>Πρβλ</w:t>
      </w:r>
      <w:proofErr w:type="spellEnd"/>
      <w:r>
        <w:rPr>
          <w:lang w:val="el-GR"/>
        </w:rPr>
        <w:t>.  παρ. 2 του άρθρου 78 του ν. 4412/2016</w:t>
      </w:r>
    </w:p>
  </w:footnote>
  <w:footnote w:id="139">
    <w:p w14:paraId="1C819A64" w14:textId="77777777" w:rsidR="0075659A" w:rsidRPr="00BD65F6" w:rsidRDefault="0075659A">
      <w:pPr>
        <w:pStyle w:val="af5"/>
        <w:rPr>
          <w:lang w:val="el-GR"/>
        </w:rPr>
      </w:pPr>
      <w:r>
        <w:rPr>
          <w:rStyle w:val="a8"/>
        </w:rPr>
        <w:footnoteRef/>
      </w:r>
      <w:r>
        <w:rPr>
          <w:lang w:val="el-GR"/>
        </w:rPr>
        <w:tab/>
        <w:t xml:space="preserve"> </w:t>
      </w:r>
      <w:proofErr w:type="spellStart"/>
      <w:r>
        <w:rPr>
          <w:lang w:val="el-GR"/>
        </w:rPr>
        <w:t>Πρβλ</w:t>
      </w:r>
      <w:proofErr w:type="spellEnd"/>
      <w:r>
        <w:rPr>
          <w:lang w:val="el-GR"/>
        </w:rPr>
        <w:t>. άρθρο 132 του ν. 4412/2016</w:t>
      </w:r>
    </w:p>
  </w:footnote>
  <w:footnote w:id="140">
    <w:p w14:paraId="330CC087" w14:textId="6455277C" w:rsidR="0075659A" w:rsidRPr="00BD65F6" w:rsidRDefault="0075659A" w:rsidP="001C5104">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201 του ν. 4412/2016, σε συνδυασμό με την περίπτωση </w:t>
      </w:r>
      <w:proofErr w:type="spellStart"/>
      <w:r>
        <w:rPr>
          <w:lang w:val="el-GR"/>
        </w:rPr>
        <w:t>στ΄</w:t>
      </w:r>
      <w:proofErr w:type="spellEnd"/>
      <w:r>
        <w:rPr>
          <w:lang w:val="el-GR"/>
        </w:rPr>
        <w:t xml:space="preserve"> της παρ. </w:t>
      </w:r>
      <w:r>
        <w:rPr>
          <w:lang w:val="el-GR"/>
        </w:rPr>
        <w:t>11 του</w:t>
      </w:r>
      <w:r>
        <w:rPr>
          <w:lang w:val="en-GB"/>
        </w:rPr>
        <w:t> </w:t>
      </w:r>
      <w:hyperlink r:id="rId7" w:history="1">
        <w:r w:rsidRPr="00245B54">
          <w:rPr>
            <w:lang w:val="el-GR"/>
          </w:rPr>
          <w:t>άρθρου 221</w:t>
        </w:r>
      </w:hyperlink>
      <w:r>
        <w:rPr>
          <w:lang w:val="el-GR"/>
        </w:rPr>
        <w:t xml:space="preserve">. </w:t>
      </w:r>
      <w:r w:rsidRPr="001C5104">
        <w:rPr>
          <w:lang w:val="el-GR"/>
        </w:rPr>
        <w:t xml:space="preserve">Ειδικά για την περίπτωση των Κεντρικών Αρχών Αγορών, για ζητήματα τροποποίησης συμφωνιών - πλαίσιο και συμβάσεων κεντρικών </w:t>
      </w:r>
      <w:proofErr w:type="spellStart"/>
      <w:r w:rsidRPr="001C5104">
        <w:rPr>
          <w:lang w:val="el-GR"/>
        </w:rPr>
        <w:t>προμήθειών</w:t>
      </w:r>
      <w:proofErr w:type="spellEnd"/>
      <w:r>
        <w:rPr>
          <w:lang w:val="el-GR"/>
        </w:rPr>
        <w:t xml:space="preserve"> </w:t>
      </w:r>
      <w:r w:rsidRPr="001C5104">
        <w:rPr>
          <w:lang w:val="el-GR"/>
        </w:rPr>
        <w:t xml:space="preserve">που συνάπτονται από αυτές, γνωμοδοτεί η επιτροπή </w:t>
      </w:r>
      <w:r>
        <w:rPr>
          <w:lang w:val="el-GR"/>
        </w:rPr>
        <w:t xml:space="preserve">της </w:t>
      </w:r>
      <w:proofErr w:type="spellStart"/>
      <w:r w:rsidRPr="001C5104">
        <w:rPr>
          <w:lang w:val="el-GR"/>
        </w:rPr>
        <w:t>περ</w:t>
      </w:r>
      <w:proofErr w:type="spellEnd"/>
      <w:r w:rsidRPr="001C5104">
        <w:rPr>
          <w:lang w:val="el-GR"/>
        </w:rPr>
        <w:t>. α’</w:t>
      </w:r>
      <w:r>
        <w:rPr>
          <w:lang w:val="el-GR"/>
        </w:rPr>
        <w:t xml:space="preserve"> της παρ. 11 του άρθρου 221 (</w:t>
      </w:r>
      <w:r w:rsidRPr="001C5104">
        <w:rPr>
          <w:lang w:val="el-GR"/>
        </w:rPr>
        <w:t>(επιτροπή διενέργειας/επιτροπή αξιολόγησης)</w:t>
      </w:r>
    </w:p>
  </w:footnote>
  <w:footnote w:id="141">
    <w:p w14:paraId="0B42B87D" w14:textId="176094D0" w:rsidR="0075659A" w:rsidRPr="00BD65F6" w:rsidRDefault="0075659A">
      <w:pPr>
        <w:pStyle w:val="af5"/>
        <w:rPr>
          <w:lang w:val="el-GR"/>
        </w:rPr>
      </w:pPr>
      <w:r>
        <w:rPr>
          <w:rStyle w:val="a8"/>
        </w:rPr>
        <w:footnoteRef/>
      </w:r>
      <w:r>
        <w:rPr>
          <w:lang w:val="el-GR"/>
        </w:rPr>
        <w:tab/>
      </w:r>
      <w:r w:rsidRPr="00AC0B40">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w:t>
      </w:r>
      <w:r>
        <w:rPr>
          <w:lang w:val="el-GR"/>
        </w:rPr>
        <w:t>ν</w:t>
      </w:r>
      <w:r w:rsidRPr="00AC0B40">
        <w:rPr>
          <w:lang w:val="el-GR"/>
        </w:rPr>
        <w:t xml:space="preserve">  πρέπει να μεταβάλουν τη συνολική φύση της σύμβασης (</w:t>
      </w:r>
      <w:proofErr w:type="spellStart"/>
      <w:r w:rsidRPr="00AC0B40">
        <w:rPr>
          <w:lang w:val="el-GR"/>
        </w:rPr>
        <w:t>Πρβλ</w:t>
      </w:r>
      <w:proofErr w:type="spellEnd"/>
      <w:r w:rsidRPr="00AC0B40">
        <w:rPr>
          <w:lang w:val="el-GR"/>
        </w:rPr>
        <w:t xml:space="preserve">. άρθρο 132 παρ. 1 </w:t>
      </w:r>
      <w:proofErr w:type="spellStart"/>
      <w:r w:rsidRPr="00AC0B40">
        <w:rPr>
          <w:lang w:val="el-GR"/>
        </w:rPr>
        <w:t>α</w:t>
      </w:r>
      <w:r>
        <w:rPr>
          <w:lang w:val="el-GR"/>
        </w:rPr>
        <w:t>΄</w:t>
      </w:r>
      <w:proofErr w:type="spellEnd"/>
      <w:r w:rsidRPr="00AC0B40">
        <w:rPr>
          <w:lang w:val="el-GR"/>
        </w:rPr>
        <w:t xml:space="preserve"> του ν. 4412/2016).</w:t>
      </w:r>
    </w:p>
  </w:footnote>
  <w:footnote w:id="142">
    <w:p w14:paraId="19AC44CA" w14:textId="425D71B8" w:rsidR="0075659A" w:rsidRPr="00C65ED2" w:rsidRDefault="0075659A" w:rsidP="00177D6E">
      <w:pPr>
        <w:pStyle w:val="af5"/>
        <w:rPr>
          <w:lang w:val="el-GR"/>
        </w:rPr>
      </w:pPr>
      <w:r>
        <w:rPr>
          <w:rStyle w:val="ad"/>
        </w:rPr>
        <w:footnoteRef/>
      </w:r>
      <w:r w:rsidRPr="00C65ED2">
        <w:rPr>
          <w:lang w:val="el-GR"/>
        </w:rPr>
        <w:t xml:space="preserve"> </w:t>
      </w:r>
      <w:r>
        <w:rPr>
          <w:lang w:val="el-GR"/>
        </w:rPr>
        <w:t xml:space="preserve">     Βλ. ιδίως την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παρ.4  του άρθρου 203 του ν. 4412/2016</w:t>
      </w:r>
    </w:p>
  </w:footnote>
  <w:footnote w:id="143">
    <w:p w14:paraId="00D7C7C3" w14:textId="35B1E789" w:rsidR="0075659A" w:rsidRPr="004759D3" w:rsidRDefault="0075659A"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w:t>
      </w:r>
      <w:proofErr w:type="spellStart"/>
      <w:r w:rsidRPr="004759D3">
        <w:rPr>
          <w:lang w:val="el-GR"/>
        </w:rPr>
        <w:t>περ</w:t>
      </w:r>
      <w:proofErr w:type="spellEnd"/>
      <w:r w:rsidRPr="004759D3">
        <w:rPr>
          <w:lang w:val="el-GR"/>
        </w:rPr>
        <w:t xml:space="preserve">. </w:t>
      </w:r>
      <w:proofErr w:type="spellStart"/>
      <w:r w:rsidRPr="004759D3">
        <w:rPr>
          <w:lang w:val="el-GR"/>
        </w:rPr>
        <w:t>αα</w:t>
      </w:r>
      <w:r>
        <w:rPr>
          <w:lang w:val="el-GR"/>
        </w:rPr>
        <w:t>΄</w:t>
      </w:r>
      <w:proofErr w:type="spellEnd"/>
      <w:r w:rsidRPr="004759D3">
        <w:rPr>
          <w:lang w:val="el-GR"/>
        </w:rPr>
        <w:t xml:space="preserve"> του ν. 4412/2016. </w:t>
      </w:r>
    </w:p>
    <w:p w14:paraId="7117372A" w14:textId="26AF1496" w:rsidR="0075659A" w:rsidRPr="004759D3" w:rsidRDefault="0075659A" w:rsidP="00AE4565">
      <w:pPr>
        <w:pStyle w:val="af5"/>
        <w:rPr>
          <w:lang w:val="el-GR"/>
        </w:rPr>
      </w:pPr>
      <w:r w:rsidRPr="004759D3">
        <w:rPr>
          <w:lang w:val="el-GR"/>
        </w:rPr>
        <w:tab/>
        <w:t xml:space="preserve"> </w:t>
      </w:r>
      <w:proofErr w:type="spellStart"/>
      <w:r w:rsidRPr="004759D3">
        <w:rPr>
          <w:lang w:val="el-GR"/>
        </w:rPr>
        <w:t>Πρβλ</w:t>
      </w:r>
      <w:proofErr w:type="spellEnd"/>
      <w:r w:rsidRPr="004759D3">
        <w:rPr>
          <w:lang w:val="el-GR"/>
        </w:rPr>
        <w:t>., επίσης, Κατευθυντήρια Οδηγία 22 της Αρχής</w:t>
      </w:r>
      <w:r>
        <w:rPr>
          <w:lang w:val="el-GR"/>
        </w:rPr>
        <w:t>,</w:t>
      </w:r>
      <w:r w:rsidRPr="004759D3">
        <w:rPr>
          <w:lang w:val="el-GR"/>
        </w:rPr>
        <w:t xml:space="preserve"> με τίτλο «Τροποποίηση συμβάσεων κατά τη διάρκειά τους», Κεφάλαιο ΙΙΙ.Δ. σημείο Ι, σελ. 17 (ΑΔΑ: 7ΜΥΤΟΞΤΒ-ΖΓΖ).  </w:t>
      </w:r>
    </w:p>
  </w:footnote>
  <w:footnote w:id="144">
    <w:p w14:paraId="22AC305C" w14:textId="77777777" w:rsidR="0075659A" w:rsidRPr="00BD65F6" w:rsidRDefault="0075659A">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45">
    <w:p w14:paraId="42C8003B" w14:textId="5DC1EACA" w:rsidR="0075659A" w:rsidRPr="009D34B5" w:rsidRDefault="0075659A">
      <w:pPr>
        <w:pStyle w:val="af5"/>
        <w:rPr>
          <w:lang w:val="el-GR"/>
        </w:rPr>
      </w:pPr>
      <w:r>
        <w:rPr>
          <w:rStyle w:val="ad"/>
        </w:rPr>
        <w:footnoteRef/>
      </w:r>
      <w:r w:rsidRPr="00670518">
        <w:rPr>
          <w:lang w:val="el-GR"/>
        </w:rPr>
        <w:t xml:space="preserve"> </w:t>
      </w:r>
      <w:r>
        <w:rPr>
          <w:lang w:val="el-GR"/>
        </w:rPr>
        <w:t xml:space="preserve">    Γ</w:t>
      </w:r>
      <w:r w:rsidRPr="006F6BF0">
        <w:rPr>
          <w:lang w:val="el-GR"/>
        </w:rPr>
        <w:t xml:space="preserve">ια τα τιμολόγια που εκδίδονται κατά την εκτέλεση των δημοσίων συμβάσεων, ανεξαρτήτως αξίας </w:t>
      </w:r>
      <w:r w:rsidRPr="009D34B5">
        <w:rPr>
          <w:lang w:val="el-GR"/>
        </w:rPr>
        <w:t xml:space="preserve">αυτών,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σύμφωνα με τις διατάξεις των άρθρων 148 έως και 153  του ν. 4601/2019 (Α΄44) και των, κατ’ εξουσιοδότηση του άρθρου 154 του νόμου αυτού, κανονιστικών αποφάσεων. </w:t>
      </w:r>
    </w:p>
  </w:footnote>
  <w:footnote w:id="146">
    <w:p w14:paraId="31A36068" w14:textId="77777777" w:rsidR="0075659A" w:rsidRPr="00BD65F6" w:rsidRDefault="0075659A">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47">
    <w:p w14:paraId="63B64DAC" w14:textId="77777777" w:rsidR="0075659A" w:rsidRPr="00BD65F6" w:rsidRDefault="0075659A">
      <w:pPr>
        <w:pStyle w:val="af5"/>
        <w:rPr>
          <w:lang w:val="el-GR"/>
        </w:rPr>
      </w:pPr>
      <w:r>
        <w:rPr>
          <w:rStyle w:val="a8"/>
        </w:rPr>
        <w:footnoteRef/>
      </w:r>
      <w:r>
        <w:rPr>
          <w:lang w:val="el-GR"/>
        </w:rPr>
        <w:tab/>
        <w:t>Ά</w:t>
      </w:r>
      <w:r>
        <w:rPr>
          <w:szCs w:val="18"/>
          <w:lang w:val="el-GR"/>
        </w:rPr>
        <w:t>ρθρο 350,  παρ. 3  του ν. 4412/2016, όπως ισχύει.</w:t>
      </w:r>
    </w:p>
  </w:footnote>
  <w:footnote w:id="148">
    <w:p w14:paraId="6AE8CA7D" w14:textId="77777777" w:rsidR="0075659A" w:rsidRPr="00BD65F6" w:rsidRDefault="0075659A" w:rsidP="000D2427">
      <w:pPr>
        <w:pStyle w:val="af5"/>
        <w:rPr>
          <w:lang w:val="el-GR"/>
        </w:rPr>
      </w:pPr>
      <w:r>
        <w:rPr>
          <w:rStyle w:val="a8"/>
        </w:rPr>
        <w:footnoteRef/>
      </w:r>
      <w:r>
        <w:rPr>
          <w:lang w:val="el-GR"/>
        </w:rPr>
        <w:tab/>
      </w:r>
      <w:proofErr w:type="spellStart"/>
      <w:r w:rsidRPr="002706B0">
        <w:rPr>
          <w:lang w:val="el-GR"/>
        </w:rPr>
        <w:t>Πρβλ</w:t>
      </w:r>
      <w:proofErr w:type="spellEnd"/>
      <w:r w:rsidRPr="002706B0">
        <w:rPr>
          <w:lang w:val="el-GR"/>
        </w:rPr>
        <w:t xml:space="preserve">.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r w:rsidRPr="00BB739E">
        <w:rPr>
          <w:i/>
          <w:lang w:val="el-GR"/>
        </w:rPr>
        <w:t xml:space="preserve"> </w:t>
      </w:r>
    </w:p>
  </w:footnote>
  <w:footnote w:id="149">
    <w:p w14:paraId="753DDC6E" w14:textId="4ED932C8" w:rsidR="0075659A" w:rsidRPr="00954CC6" w:rsidRDefault="0075659A" w:rsidP="00CF5126">
      <w:pPr>
        <w:pStyle w:val="af5"/>
        <w:rPr>
          <w:lang w:val="el-GR"/>
        </w:rPr>
      </w:pPr>
      <w:r w:rsidRPr="009D34B5">
        <w:rPr>
          <w:rStyle w:val="ad"/>
        </w:rPr>
        <w:footnoteRef/>
      </w:r>
      <w:r w:rsidRPr="009D34B5">
        <w:rPr>
          <w:lang w:val="el-GR"/>
        </w:rPr>
        <w:t xml:space="preserve"> </w:t>
      </w:r>
      <w:r w:rsidRPr="009D34B5">
        <w:rPr>
          <w:lang w:val="el-GR"/>
        </w:rPr>
        <w:tab/>
      </w:r>
      <w:proofErr w:type="spellStart"/>
      <w:r w:rsidRPr="009D34B5">
        <w:rPr>
          <w:lang w:val="el-GR"/>
        </w:rPr>
        <w:t>Πρβλ</w:t>
      </w:r>
      <w:proofErr w:type="spellEnd"/>
      <w:r w:rsidRPr="009D34B5">
        <w:rPr>
          <w:lang w:val="el-GR"/>
        </w:rPr>
        <w:t xml:space="preserve">. Απόφαση </w:t>
      </w:r>
      <w:proofErr w:type="spellStart"/>
      <w:r w:rsidRPr="009D34B5">
        <w:rPr>
          <w:lang w:val="el-GR"/>
        </w:rPr>
        <w:t>αριθμ</w:t>
      </w:r>
      <w:proofErr w:type="spellEnd"/>
      <w:r w:rsidRPr="009D34B5">
        <w:rPr>
          <w:lang w:val="el-GR"/>
        </w:rPr>
        <w:t>. 63446</w:t>
      </w:r>
      <w:r>
        <w:rPr>
          <w:lang w:val="el-GR"/>
        </w:rPr>
        <w:t>/2021</w:t>
      </w:r>
      <w:r w:rsidRPr="009D34B5">
        <w:rPr>
          <w:lang w:val="el-GR"/>
        </w:rPr>
        <w:t xml:space="preserve"> </w:t>
      </w:r>
      <w:r w:rsidRPr="00FC736C">
        <w:rPr>
          <w:i/>
          <w:lang w:val="el-GR"/>
        </w:rPr>
        <w:t>(B’ 2338/02.06.2021)</w:t>
      </w:r>
      <w:r>
        <w:rPr>
          <w:i/>
          <w:lang w:val="el-GR"/>
        </w:rPr>
        <w:t xml:space="preserve"> </w:t>
      </w:r>
      <w:r w:rsidRPr="009D34B5">
        <w:rPr>
          <w:lang w:val="el-GR"/>
        </w:rPr>
        <w:t xml:space="preserve">Υπουργών Οικονομικών – Ανάπτυξης και Επενδύσεων – Επικρατείας «Καθορισμός Εθνικού </w:t>
      </w:r>
      <w:proofErr w:type="spellStart"/>
      <w:r w:rsidRPr="009D34B5">
        <w:rPr>
          <w:lang w:val="el-GR"/>
        </w:rPr>
        <w:t>Μορφότυπου</w:t>
      </w:r>
      <w:proofErr w:type="spellEnd"/>
      <w:r w:rsidRPr="009D34B5">
        <w:rPr>
          <w:lang w:val="el-GR"/>
        </w:rPr>
        <w:t xml:space="preserve">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150">
    <w:p w14:paraId="613E68E9" w14:textId="77777777" w:rsidR="0075659A" w:rsidRPr="00BD65F6" w:rsidRDefault="0075659A">
      <w:pPr>
        <w:pStyle w:val="af5"/>
        <w:rPr>
          <w:lang w:val="el-GR"/>
        </w:rPr>
      </w:pPr>
      <w:r>
        <w:rPr>
          <w:rStyle w:val="a8"/>
        </w:rPr>
        <w:footnoteRef/>
      </w:r>
      <w:r>
        <w:rPr>
          <w:lang w:val="el-GR"/>
        </w:rPr>
        <w:tab/>
        <w:t xml:space="preserve">Άρθρο 203 του ν. 4412/2016 </w:t>
      </w:r>
    </w:p>
  </w:footnote>
  <w:footnote w:id="151">
    <w:p w14:paraId="324BA3B6" w14:textId="77777777" w:rsidR="0075659A" w:rsidRPr="00BD65F6" w:rsidRDefault="0075659A">
      <w:pPr>
        <w:pStyle w:val="af5"/>
        <w:rPr>
          <w:lang w:val="el-GR"/>
        </w:rPr>
      </w:pPr>
      <w:r>
        <w:rPr>
          <w:lang w:val="el-GR"/>
        </w:rPr>
        <w:tab/>
        <w:t xml:space="preserve"> </w:t>
      </w:r>
    </w:p>
  </w:footnote>
  <w:footnote w:id="152">
    <w:p w14:paraId="1AD45AA1" w14:textId="77777777" w:rsidR="0075659A" w:rsidRPr="00BD65F6" w:rsidRDefault="0075659A">
      <w:pPr>
        <w:pStyle w:val="af5"/>
        <w:rPr>
          <w:lang w:val="el-GR"/>
        </w:rPr>
      </w:pPr>
      <w:r>
        <w:rPr>
          <w:rStyle w:val="a8"/>
        </w:rPr>
        <w:footnoteRef/>
      </w:r>
      <w:r>
        <w:rPr>
          <w:lang w:val="el-GR"/>
        </w:rPr>
        <w:tab/>
        <w:t>Άρθρο 207 του ν. 4412/2016.</w:t>
      </w:r>
    </w:p>
  </w:footnote>
  <w:footnote w:id="153">
    <w:p w14:paraId="5FA5A056" w14:textId="77777777" w:rsidR="0075659A" w:rsidRPr="00BD65F6" w:rsidRDefault="0075659A"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54">
    <w:p w14:paraId="7004F8E1" w14:textId="77777777" w:rsidR="0075659A" w:rsidRPr="00BD65F6" w:rsidRDefault="0075659A">
      <w:pPr>
        <w:pStyle w:val="af5"/>
        <w:rPr>
          <w:lang w:val="el-GR"/>
        </w:rPr>
      </w:pPr>
      <w:r>
        <w:rPr>
          <w:rStyle w:val="a8"/>
        </w:rPr>
        <w:footnoteRef/>
      </w:r>
      <w:r>
        <w:rPr>
          <w:lang w:val="el-GR"/>
        </w:rPr>
        <w:tab/>
        <w:t xml:space="preserve">Άρθρο 205Α του ν. 4412/2016. </w:t>
      </w:r>
    </w:p>
  </w:footnote>
  <w:footnote w:id="155">
    <w:p w14:paraId="09CCB053" w14:textId="77777777" w:rsidR="0075659A" w:rsidRPr="00845A73" w:rsidRDefault="0075659A"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56">
    <w:p w14:paraId="03B0261C" w14:textId="2149C674" w:rsidR="0075659A" w:rsidRPr="0048403F" w:rsidRDefault="0075659A" w:rsidP="009E23A8">
      <w:pPr>
        <w:pStyle w:val="af5"/>
        <w:rPr>
          <w:i/>
          <w:color w:val="FF0000"/>
          <w:lang w:val="el-GR"/>
        </w:rPr>
      </w:pPr>
      <w:r>
        <w:rPr>
          <w:rStyle w:val="a8"/>
        </w:rPr>
        <w:footnoteRef/>
      </w:r>
      <w:r>
        <w:rPr>
          <w:lang w:val="el-GR"/>
        </w:rPr>
        <w:tab/>
      </w:r>
      <w:r w:rsidRPr="009E23A8">
        <w:rPr>
          <w:lang w:val="el-GR"/>
        </w:rPr>
        <w:t xml:space="preserve">Άρθρο 221 παρ. 11 β) του ν. 4412/2016: </w:t>
      </w:r>
      <w:r w:rsidRPr="009E23A8">
        <w:rPr>
          <w:i/>
          <w:lang w:val="el-GR"/>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14:paraId="0C9518E0" w14:textId="127D3E7A" w:rsidR="0075659A" w:rsidRPr="00BD65F6" w:rsidRDefault="0075659A">
      <w:pPr>
        <w:pStyle w:val="af5"/>
        <w:rPr>
          <w:lang w:val="el-GR"/>
        </w:rPr>
      </w:pPr>
      <w:r>
        <w:rPr>
          <w:lang w:val="el-GR"/>
        </w:rPr>
        <w:t>”   Το κείμενο της διάταξης είναι διαφορετικό (εν μέρει, τουλάχιστον).</w:t>
      </w:r>
    </w:p>
  </w:footnote>
  <w:footnote w:id="157">
    <w:p w14:paraId="4EE8101B" w14:textId="77777777" w:rsidR="0075659A" w:rsidRPr="00BD65F6" w:rsidRDefault="0075659A">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E23A" w14:textId="77777777" w:rsidR="0075659A" w:rsidRDefault="007565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BC07" w14:textId="77777777" w:rsidR="0075659A" w:rsidRDefault="007565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8B3D" w14:textId="77777777" w:rsidR="0075659A" w:rsidRDefault="007565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71852BB"/>
    <w:multiLevelType w:val="hybridMultilevel"/>
    <w:tmpl w:val="5378B506"/>
    <w:lvl w:ilvl="0" w:tplc="A5D2E30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3">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nsid w:val="4A6961F1"/>
    <w:multiLevelType w:val="hybridMultilevel"/>
    <w:tmpl w:val="CFF47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937F0"/>
    <w:multiLevelType w:val="hybridMultilevel"/>
    <w:tmpl w:val="9EE6439A"/>
    <w:lvl w:ilvl="0" w:tplc="A4EA1FB4">
      <w:start w:val="1"/>
      <w:numFmt w:val="decimal"/>
      <w:suff w:val="nothing"/>
      <w:lvlText w:val="%1."/>
      <w:lvlJc w:val="left"/>
      <w:pPr>
        <w:ind w:left="1353"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nsid w:val="61A5522B"/>
    <w:multiLevelType w:val="hybridMultilevel"/>
    <w:tmpl w:val="CFF47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5ED78F6"/>
    <w:multiLevelType w:val="hybridMultilevel"/>
    <w:tmpl w:val="39C6BD96"/>
    <w:lvl w:ilvl="0" w:tplc="DABC088C">
      <w:numFmt w:val="bullet"/>
      <w:lvlText w:val="-"/>
      <w:lvlJc w:val="left"/>
      <w:pPr>
        <w:ind w:left="644" w:hanging="360"/>
      </w:pPr>
      <w:rPr>
        <w:rFonts w:ascii="Verdana" w:eastAsia="Times New Roman" w:hAnsi="Verdana" w:cs="Calibri" w:hint="default"/>
        <w:b/>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2">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3">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A2B2564"/>
    <w:multiLevelType w:val="hybridMultilevel"/>
    <w:tmpl w:val="FDD0DC68"/>
    <w:lvl w:ilvl="0" w:tplc="A5D2E30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3"/>
  </w:num>
  <w:num w:numId="14">
    <w:abstractNumId w:val="17"/>
  </w:num>
  <w:num w:numId="15">
    <w:abstractNumId w:val="18"/>
  </w:num>
  <w:num w:numId="16">
    <w:abstractNumId w:val="22"/>
  </w:num>
  <w:num w:numId="17">
    <w:abstractNumId w:val="13"/>
  </w:num>
  <w:num w:numId="18">
    <w:abstractNumId w:val="12"/>
  </w:num>
  <w:num w:numId="19">
    <w:abstractNumId w:val="15"/>
  </w:num>
  <w:num w:numId="20">
    <w:abstractNumId w:val="21"/>
  </w:num>
  <w:num w:numId="21">
    <w:abstractNumId w:val="20"/>
  </w:num>
  <w:num w:numId="22">
    <w:abstractNumId w:val="25"/>
  </w:num>
  <w:num w:numId="23">
    <w:abstractNumId w:val="11"/>
  </w:num>
  <w:num w:numId="24">
    <w:abstractNumId w:val="16"/>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017A"/>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074"/>
    <w:rsid w:val="00034ABD"/>
    <w:rsid w:val="00037801"/>
    <w:rsid w:val="00040BAB"/>
    <w:rsid w:val="000421F7"/>
    <w:rsid w:val="00043016"/>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A8E"/>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6C0"/>
    <w:rsid w:val="000D7C22"/>
    <w:rsid w:val="000E082E"/>
    <w:rsid w:val="000E0DD6"/>
    <w:rsid w:val="000E310F"/>
    <w:rsid w:val="000E604F"/>
    <w:rsid w:val="000E636F"/>
    <w:rsid w:val="000E67AB"/>
    <w:rsid w:val="000F03AE"/>
    <w:rsid w:val="000F12E3"/>
    <w:rsid w:val="000F1F04"/>
    <w:rsid w:val="000F27EF"/>
    <w:rsid w:val="000F28F9"/>
    <w:rsid w:val="000F3AC7"/>
    <w:rsid w:val="000F3C43"/>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17FF"/>
    <w:rsid w:val="00132FDD"/>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1E0B"/>
    <w:rsid w:val="0022250D"/>
    <w:rsid w:val="00222C4E"/>
    <w:rsid w:val="00223492"/>
    <w:rsid w:val="00227727"/>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871FC"/>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52"/>
    <w:rsid w:val="002D777A"/>
    <w:rsid w:val="002E0E04"/>
    <w:rsid w:val="002E1623"/>
    <w:rsid w:val="002E37DD"/>
    <w:rsid w:val="002E6277"/>
    <w:rsid w:val="002E6CB5"/>
    <w:rsid w:val="002E7A08"/>
    <w:rsid w:val="002F4478"/>
    <w:rsid w:val="002F46A5"/>
    <w:rsid w:val="002F4DB0"/>
    <w:rsid w:val="002F73F2"/>
    <w:rsid w:val="002F7439"/>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216"/>
    <w:rsid w:val="00322771"/>
    <w:rsid w:val="00322DCB"/>
    <w:rsid w:val="0032301B"/>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3E9E"/>
    <w:rsid w:val="003954C0"/>
    <w:rsid w:val="00397542"/>
    <w:rsid w:val="00397984"/>
    <w:rsid w:val="00397E25"/>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3340"/>
    <w:rsid w:val="003E77F8"/>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254"/>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4B"/>
    <w:rsid w:val="005352FD"/>
    <w:rsid w:val="0053596B"/>
    <w:rsid w:val="0053703A"/>
    <w:rsid w:val="00540F44"/>
    <w:rsid w:val="00544400"/>
    <w:rsid w:val="00544A4E"/>
    <w:rsid w:val="00546AB0"/>
    <w:rsid w:val="00546E82"/>
    <w:rsid w:val="005502D8"/>
    <w:rsid w:val="005518B6"/>
    <w:rsid w:val="00551F2E"/>
    <w:rsid w:val="00553602"/>
    <w:rsid w:val="00553E3F"/>
    <w:rsid w:val="0055437F"/>
    <w:rsid w:val="0055520C"/>
    <w:rsid w:val="005563C6"/>
    <w:rsid w:val="00556F06"/>
    <w:rsid w:val="00557AE2"/>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25D"/>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2BEE"/>
    <w:rsid w:val="006C3ED8"/>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B70"/>
    <w:rsid w:val="00744F87"/>
    <w:rsid w:val="007470A4"/>
    <w:rsid w:val="00747793"/>
    <w:rsid w:val="0074788C"/>
    <w:rsid w:val="007515FD"/>
    <w:rsid w:val="00752927"/>
    <w:rsid w:val="0075574A"/>
    <w:rsid w:val="00755B97"/>
    <w:rsid w:val="0075635C"/>
    <w:rsid w:val="00756406"/>
    <w:rsid w:val="0075659A"/>
    <w:rsid w:val="007573DC"/>
    <w:rsid w:val="00757551"/>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4727"/>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1926"/>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3E9A"/>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809EB"/>
    <w:rsid w:val="00883D1B"/>
    <w:rsid w:val="00884F71"/>
    <w:rsid w:val="00887471"/>
    <w:rsid w:val="008910EA"/>
    <w:rsid w:val="008915CA"/>
    <w:rsid w:val="0089409A"/>
    <w:rsid w:val="00895934"/>
    <w:rsid w:val="0089727E"/>
    <w:rsid w:val="00897A77"/>
    <w:rsid w:val="008A2283"/>
    <w:rsid w:val="008A22C5"/>
    <w:rsid w:val="008A2B83"/>
    <w:rsid w:val="008A47B4"/>
    <w:rsid w:val="008A4977"/>
    <w:rsid w:val="008A6EB2"/>
    <w:rsid w:val="008B10D4"/>
    <w:rsid w:val="008B18D8"/>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17CA"/>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549"/>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4D1"/>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1E8"/>
    <w:rsid w:val="00AF0226"/>
    <w:rsid w:val="00AF16EB"/>
    <w:rsid w:val="00AF1790"/>
    <w:rsid w:val="00AF26CB"/>
    <w:rsid w:val="00AF36CF"/>
    <w:rsid w:val="00AF4473"/>
    <w:rsid w:val="00AF44F4"/>
    <w:rsid w:val="00AF6381"/>
    <w:rsid w:val="00B0135D"/>
    <w:rsid w:val="00B0174B"/>
    <w:rsid w:val="00B02350"/>
    <w:rsid w:val="00B02BC7"/>
    <w:rsid w:val="00B03F31"/>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4CD0"/>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3A2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37B"/>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55"/>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1DD5"/>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0E97"/>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4DC3"/>
    <w:rsid w:val="00E05032"/>
    <w:rsid w:val="00E05CA8"/>
    <w:rsid w:val="00E06ADE"/>
    <w:rsid w:val="00E10690"/>
    <w:rsid w:val="00E10C71"/>
    <w:rsid w:val="00E1420D"/>
    <w:rsid w:val="00E14C02"/>
    <w:rsid w:val="00E17BC4"/>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1C0D"/>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610A"/>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1BE4"/>
    <w:rsid w:val="00FD2238"/>
    <w:rsid w:val="00FD223B"/>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C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C3"/>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C3"/>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northotika@eaadhsy.gr" TargetMode="External"/><Relationship Id="rId18" Type="http://schemas.openxmlformats.org/officeDocument/2006/relationships/hyperlink" Target="http://www.eaadhsy.gr/n4412/n4412fulltextlink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prosarthmaA_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footer" Target="footer2.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mitheus.gov.gr" TargetMode="External"/><Relationship Id="rId14" Type="http://schemas.openxmlformats.org/officeDocument/2006/relationships/image" Target="media/image1.png"/><Relationship Id="rId22" Type="http://schemas.openxmlformats.org/officeDocument/2006/relationships/hyperlink" Target="http://www.eaadhsy.gr/n4412/n4412fulltextlinks.html"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spd.eprocurement.gov.gr/" TargetMode="External"/><Relationship Id="rId7" Type="http://schemas.openxmlformats.org/officeDocument/2006/relationships/hyperlink" Target="https://www.taxheaven.gr/laws/view/index/law/4412/year/2016/article/221"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eur-lex.europa.eu/legal-content/EL/TXT/HTML/?uri=CELEX:32016R0007R(01)&amp;from=EL" TargetMode="External"/><Relationship Id="rId5" Type="http://schemas.openxmlformats.org/officeDocument/2006/relationships/hyperlink" Target="https://portal.eprocurement.gov.gr/webcenter/portal/TestPortal" TargetMode="External"/><Relationship Id="rId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111-F501-426E-9368-2A0E79AB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69</Pages>
  <Words>30282</Words>
  <Characters>163525</Characters>
  <Application>Microsoft Office Word</Application>
  <DocSecurity>0</DocSecurity>
  <Lines>1362</Lines>
  <Paragraphs>386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193421</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User</cp:lastModifiedBy>
  <cp:revision>39</cp:revision>
  <cp:lastPrinted>2023-03-07T09:03:00Z</cp:lastPrinted>
  <dcterms:created xsi:type="dcterms:W3CDTF">2023-06-06T16:50:00Z</dcterms:created>
  <dcterms:modified xsi:type="dcterms:W3CDTF">2023-10-26T08:46:00Z</dcterms:modified>
</cp:coreProperties>
</file>